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2024FW055</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污水处理站改造设计服务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八月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E5809B">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25875"/>
      <w:bookmarkStart w:id="1" w:name="_Toc485108766"/>
      <w:bookmarkStart w:id="2" w:name="_Toc12789052"/>
      <w:bookmarkStart w:id="3" w:name="_Toc11641050"/>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17775178"/>
      <w:bookmarkStart w:id="5" w:name="_Toc373860293"/>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污水处理站改造设计服务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485108767"/>
      <w:bookmarkStart w:id="7" w:name="_Toc313893526"/>
      <w:bookmarkStart w:id="8" w:name="_Toc28443"/>
      <w:bookmarkStart w:id="9" w:name="_Toc317775175"/>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污水处理站改造设计服务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：医院自筹。</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三、项目预算：3.5万元。</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485108774"/>
      <w:bookmarkStart w:id="17" w:name="_Toc102227313"/>
    </w:p>
    <w:p w14:paraId="70262DCE">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1.有效的三证合一营业执照（包含建设工程设计内容），环境工程（水污染防治工程、污染修复工程）专项乙级以上。</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13</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13</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15</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w:t>
      </w:r>
      <w:bookmarkStart w:id="161" w:name="_GoBack"/>
      <w:bookmarkEnd w:id="161"/>
      <w:r>
        <w:rPr>
          <w:rFonts w:hint="eastAsia" w:ascii="宋体" w:hAnsi="宋体" w:eastAsia="宋体" w:cs="宋体"/>
          <w:b/>
          <w:bCs/>
          <w:color w:val="auto"/>
          <w:sz w:val="24"/>
          <w:szCs w:val="24"/>
          <w:u w:val="single"/>
        </w:rPr>
        <w:t>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auto"/>
          <w:sz w:val="24"/>
          <w:szCs w:val="24"/>
        </w:rPr>
      </w:pPr>
      <w:bookmarkStart w:id="24" w:name="_Toc2806"/>
      <w:bookmarkStart w:id="25" w:name="_Toc1625"/>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9130"/>
      <w:bookmarkStart w:id="27" w:name="_Toc3139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794636B6">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7B34CE49">
      <w:pPr>
        <w:spacing w:line="400" w:lineRule="exact"/>
        <w:ind w:firstLine="482" w:firstLineChars="200"/>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rPr>
        <w:t>（二）报价要求</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本次投标报价为包干价，包含现场勘查费、方案设计费、施工图设计费、设计单位邀请第三方公司做概算编制的费用、差旅费、住宿费、税费等各项费用。(报价表见第六章)</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8"/>
      <w:bookmarkStart w:id="35" w:name="OLE_LINK3"/>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381C2057">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51D3E606">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、服务需求</w:t>
      </w:r>
    </w:p>
    <w:p w14:paraId="09CCBC05">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项目内容：</w:t>
      </w:r>
    </w:p>
    <w:p w14:paraId="598B9EF5">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根据院方需求，对萱花院区进行污水处理站改造设计(设计符合医院污水处理工程技术规范及国家生态环境保护要求),设计内容：</w:t>
      </w:r>
    </w:p>
    <w:p w14:paraId="6D3A97AE">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1.工艺改造</w:t>
      </w:r>
    </w:p>
    <w:p w14:paraId="418EB4B6">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将现有的一级强化处理工艺（混凝沉淀）+消毒工艺改为二级处理（生化处理）+消毒工艺。（注意：污水处理站现场不具备新建池子条件，只能根据现有池子做功能改变）。</w:t>
      </w:r>
    </w:p>
    <w:p w14:paraId="0DFF507B">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2.格栅井改造</w:t>
      </w:r>
    </w:p>
    <w:p w14:paraId="18D9D901">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进水口渣量过大，现有一个格栅机去除悬浮物效果不理想，通过增设设备或其它方式以达到提高悬浮物去除率的目的。</w:t>
      </w:r>
    </w:p>
    <w:p w14:paraId="60413E8B">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3.废气除臭工艺设计</w:t>
      </w:r>
    </w:p>
    <w:p w14:paraId="3297F221">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选择合适的工艺对格栅井、调节池、接触氧化池等池产生的废气进行收集处理。</w:t>
      </w:r>
    </w:p>
    <w:p w14:paraId="4CDE7C9F">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4.排放口改造：</w:t>
      </w:r>
    </w:p>
    <w:p w14:paraId="294A3DF3">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（1）现有排放口设置不规范，要求符合巴歇尔槽安装技术规范。</w:t>
      </w:r>
    </w:p>
    <w:p w14:paraId="4C2185D7">
      <w:pPr>
        <w:spacing w:line="39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5.服务方应按医院要求出具施工图三套。</w:t>
      </w:r>
    </w:p>
    <w:p w14:paraId="259ED3F0">
      <w:pPr>
        <w:spacing w:line="39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6.服务方应提供第三方出具的详细的工程造价预算书。</w:t>
      </w:r>
    </w:p>
    <w:p w14:paraId="56927A6F">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28327"/>
      <w:bookmarkStart w:id="67" w:name="_Toc48510878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028A2C8D">
      <w:pPr>
        <w:tabs>
          <w:tab w:val="left" w:pos="2332"/>
        </w:tabs>
        <w:rPr>
          <w:rFonts w:hint="eastAsia" w:ascii="宋体" w:hAnsi="宋体" w:eastAsia="宋体" w:cs="宋体"/>
          <w:lang w:eastAsia="zh-CN"/>
        </w:rPr>
      </w:pPr>
    </w:p>
    <w:p w14:paraId="39475D89">
      <w:pPr>
        <w:tabs>
          <w:tab w:val="left" w:pos="2332"/>
        </w:tabs>
        <w:rPr>
          <w:rFonts w:hint="eastAsia" w:ascii="宋体" w:hAnsi="宋体" w:eastAsia="宋体" w:cs="宋体"/>
          <w:lang w:eastAsia="zh-CN"/>
        </w:rPr>
      </w:pPr>
    </w:p>
    <w:p w14:paraId="455328BD">
      <w:pPr>
        <w:tabs>
          <w:tab w:val="left" w:pos="2332"/>
        </w:tabs>
        <w:rPr>
          <w:rFonts w:hint="eastAsia" w:ascii="宋体" w:hAnsi="宋体" w:eastAsia="宋体" w:cs="宋体"/>
          <w:lang w:eastAsia="zh-CN"/>
        </w:rPr>
      </w:pPr>
    </w:p>
    <w:p w14:paraId="3437B1FF">
      <w:pPr>
        <w:tabs>
          <w:tab w:val="left" w:pos="2332"/>
        </w:tabs>
        <w:rPr>
          <w:rFonts w:hint="eastAsia" w:ascii="宋体" w:hAnsi="宋体" w:eastAsia="宋体" w:cs="宋体"/>
          <w:lang w:eastAsia="zh-CN"/>
        </w:rPr>
      </w:pPr>
    </w:p>
    <w:p w14:paraId="0D83EF4D">
      <w:pPr>
        <w:tabs>
          <w:tab w:val="left" w:pos="2332"/>
        </w:tabs>
        <w:rPr>
          <w:rFonts w:hint="eastAsia" w:ascii="宋体" w:hAnsi="宋体" w:eastAsia="宋体" w:cs="宋体"/>
          <w:lang w:eastAsia="zh-CN"/>
        </w:rPr>
      </w:pPr>
    </w:p>
    <w:p w14:paraId="7A147709">
      <w:pPr>
        <w:tabs>
          <w:tab w:val="left" w:pos="2332"/>
        </w:tabs>
        <w:rPr>
          <w:rFonts w:hint="eastAsia" w:ascii="宋体" w:hAnsi="宋体" w:eastAsia="宋体" w:cs="宋体"/>
          <w:lang w:eastAsia="zh-CN"/>
        </w:rPr>
      </w:pPr>
    </w:p>
    <w:p w14:paraId="6CC5B367">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4DC97AD0">
      <w:pPr>
        <w:tabs>
          <w:tab w:val="left" w:pos="2332"/>
        </w:tabs>
        <w:rPr>
          <w:rFonts w:hint="eastAsia" w:ascii="宋体" w:hAnsi="宋体" w:eastAsia="宋体" w:cs="宋体"/>
          <w:lang w:eastAsia="zh-CN"/>
        </w:rPr>
      </w:pPr>
    </w:p>
    <w:p w14:paraId="030E7F1B">
      <w:pPr>
        <w:tabs>
          <w:tab w:val="left" w:pos="2332"/>
        </w:tabs>
        <w:rPr>
          <w:rFonts w:hint="eastAsia" w:ascii="宋体" w:hAnsi="宋体" w:eastAsia="宋体" w:cs="宋体"/>
          <w:lang w:eastAsia="zh-CN"/>
        </w:rPr>
      </w:pPr>
    </w:p>
    <w:p w14:paraId="7CE419EE">
      <w:pPr>
        <w:tabs>
          <w:tab w:val="left" w:pos="2332"/>
        </w:tabs>
        <w:rPr>
          <w:rFonts w:hint="eastAsia" w:ascii="宋体" w:hAnsi="宋体" w:eastAsia="宋体" w:cs="宋体"/>
          <w:lang w:eastAsia="zh-CN"/>
        </w:rPr>
      </w:pPr>
    </w:p>
    <w:p w14:paraId="40E655AE">
      <w:pPr>
        <w:tabs>
          <w:tab w:val="left" w:pos="2332"/>
        </w:tabs>
        <w:rPr>
          <w:rFonts w:hint="eastAsia" w:ascii="宋体" w:hAnsi="宋体" w:eastAsia="宋体" w:cs="宋体"/>
          <w:lang w:eastAsia="zh-CN"/>
        </w:rPr>
      </w:pPr>
    </w:p>
    <w:p w14:paraId="4421426D">
      <w:pPr>
        <w:tabs>
          <w:tab w:val="left" w:pos="2332"/>
        </w:tabs>
        <w:rPr>
          <w:rFonts w:hint="eastAsia" w:ascii="宋体" w:hAnsi="宋体" w:eastAsia="宋体" w:cs="宋体"/>
          <w:lang w:eastAsia="zh-CN"/>
        </w:rPr>
      </w:pPr>
    </w:p>
    <w:p w14:paraId="6CE3702F">
      <w:pPr>
        <w:tabs>
          <w:tab w:val="left" w:pos="2332"/>
        </w:tabs>
        <w:rPr>
          <w:rFonts w:hint="eastAsia" w:ascii="宋体" w:hAnsi="宋体" w:eastAsia="宋体" w:cs="宋体"/>
          <w:lang w:eastAsia="zh-CN"/>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85108793"/>
      <w:bookmarkStart w:id="72" w:name="_Toc403569795"/>
      <w:bookmarkStart w:id="73" w:name="_Toc7358"/>
      <w:r>
        <w:rPr>
          <w:rFonts w:hint="eastAsia" w:ascii="宋体" w:hAnsi="宋体" w:eastAsia="宋体" w:cs="宋体"/>
          <w:color w:val="auto"/>
          <w:sz w:val="24"/>
          <w:szCs w:val="24"/>
          <w:lang w:val="en-US" w:eastAsia="zh-CN"/>
        </w:rPr>
        <w:t>一、商务需求</w:t>
      </w:r>
    </w:p>
    <w:p w14:paraId="3DDC24DF">
      <w:pPr>
        <w:pStyle w:val="268"/>
        <w:spacing w:line="520" w:lineRule="exact"/>
        <w:rPr>
          <w:rFonts w:hint="default"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1.付款方式：服务方按时完成相关工作后，我方凭服务方提供的正式发票于60日内转账支付服务费用。</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691A9639">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732E1AD9">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480979018"/>
      <w:bookmarkStart w:id="137" w:name="_Toc485108796"/>
      <w:bookmarkStart w:id="138" w:name="_Toc313008356"/>
      <w:bookmarkStart w:id="139" w:name="_Toc342913419"/>
      <w:bookmarkStart w:id="140" w:name="_Toc313888360"/>
      <w:bookmarkStart w:id="141" w:name="_Toc12789073"/>
      <w:bookmarkStart w:id="142" w:name="_Toc283382454"/>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78D0E913">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888361"/>
      <w:bookmarkStart w:id="144" w:name="_Toc313008357"/>
      <w:bookmarkStart w:id="145" w:name="_Toc485108797"/>
      <w:bookmarkStart w:id="146" w:name="_Toc480979019"/>
      <w:bookmarkStart w:id="147" w:name="_Toc342913420"/>
      <w:r>
        <w:rPr>
          <w:rFonts w:hint="eastAsia" w:ascii="黑体" w:hAnsi="黑体" w:eastAsia="黑体"/>
          <w:sz w:val="32"/>
          <w:szCs w:val="32"/>
          <w:lang w:val="en-US" w:eastAsia="zh-CN"/>
        </w:rPr>
        <w:t>附件1</w:t>
      </w:r>
    </w:p>
    <w:tbl>
      <w:tblPr>
        <w:tblStyle w:val="58"/>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693"/>
        <w:gridCol w:w="1418"/>
      </w:tblGrid>
      <w:tr w14:paraId="7095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3402" w:type="dxa"/>
            <w:vAlign w:val="center"/>
          </w:tcPr>
          <w:p w14:paraId="287B0B4F">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项目名称</w:t>
            </w:r>
          </w:p>
        </w:tc>
        <w:tc>
          <w:tcPr>
            <w:tcW w:w="2693" w:type="dxa"/>
            <w:vAlign w:val="center"/>
          </w:tcPr>
          <w:p w14:paraId="5ECCFE77">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费用（元）</w:t>
            </w:r>
          </w:p>
        </w:tc>
        <w:tc>
          <w:tcPr>
            <w:tcW w:w="1418" w:type="dxa"/>
            <w:vAlign w:val="center"/>
          </w:tcPr>
          <w:p w14:paraId="492B6239">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备注</w:t>
            </w:r>
          </w:p>
        </w:tc>
      </w:tr>
      <w:tr w14:paraId="68EA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02" w:type="dxa"/>
            <w:vAlign w:val="center"/>
          </w:tcPr>
          <w:p w14:paraId="68BC40F0">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设计服务费</w:t>
            </w:r>
          </w:p>
        </w:tc>
        <w:tc>
          <w:tcPr>
            <w:tcW w:w="2693" w:type="dxa"/>
            <w:vAlign w:val="center"/>
          </w:tcPr>
          <w:p w14:paraId="64A94687">
            <w:pPr>
              <w:adjustRightInd w:val="0"/>
              <w:spacing w:line="500" w:lineRule="exact"/>
              <w:ind w:firstLine="560" w:firstLineChars="200"/>
              <w:rPr>
                <w:rFonts w:hint="eastAsia" w:ascii="仿宋" w:hAnsi="仿宋" w:eastAsia="仿宋"/>
                <w:b w:val="0"/>
                <w:bCs w:val="0"/>
                <w:color w:val="auto"/>
                <w:sz w:val="28"/>
                <w:szCs w:val="28"/>
                <w:lang w:val="en-US" w:eastAsia="zh-CN"/>
              </w:rPr>
            </w:pPr>
          </w:p>
        </w:tc>
        <w:tc>
          <w:tcPr>
            <w:tcW w:w="1418" w:type="dxa"/>
            <w:vAlign w:val="center"/>
          </w:tcPr>
          <w:p w14:paraId="7FDDADA9">
            <w:pPr>
              <w:adjustRightInd w:val="0"/>
              <w:spacing w:line="500" w:lineRule="exact"/>
              <w:ind w:firstLine="560" w:firstLineChars="200"/>
              <w:rPr>
                <w:rFonts w:hint="eastAsia" w:ascii="仿宋" w:hAnsi="仿宋" w:eastAsia="仿宋"/>
                <w:b w:val="0"/>
                <w:bCs w:val="0"/>
                <w:color w:val="auto"/>
                <w:sz w:val="28"/>
                <w:szCs w:val="28"/>
                <w:lang w:val="en-US" w:eastAsia="zh-CN"/>
              </w:rPr>
            </w:pPr>
          </w:p>
        </w:tc>
      </w:tr>
      <w:tr w14:paraId="277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402" w:type="dxa"/>
            <w:vAlign w:val="center"/>
          </w:tcPr>
          <w:p w14:paraId="0AC05156">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工 期</w:t>
            </w:r>
          </w:p>
        </w:tc>
        <w:tc>
          <w:tcPr>
            <w:tcW w:w="4111" w:type="dxa"/>
            <w:gridSpan w:val="2"/>
            <w:vAlign w:val="center"/>
          </w:tcPr>
          <w:p w14:paraId="0C2E011A">
            <w:pPr>
              <w:adjustRightInd w:val="0"/>
              <w:spacing w:line="500" w:lineRule="exact"/>
              <w:ind w:firstLine="560" w:firstLineChars="200"/>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 xml:space="preserve">        （天）</w:t>
            </w:r>
          </w:p>
        </w:tc>
      </w:tr>
    </w:tbl>
    <w:p w14:paraId="2116833A">
      <w:pPr>
        <w:rPr>
          <w:rFonts w:hint="default" w:ascii="宋体" w:hAnsi="宋体" w:eastAsia="宋体" w:cs="宋体"/>
          <w:b/>
          <w:color w:val="FF0000"/>
          <w:lang w:val="en-US" w:eastAsia="zh-CN"/>
        </w:rPr>
      </w:pPr>
    </w:p>
    <w:p w14:paraId="120C0C77">
      <w:pPr>
        <w:rPr>
          <w:rFonts w:hint="default" w:ascii="宋体" w:hAnsi="宋体" w:eastAsia="宋体" w:cs="宋体"/>
          <w:b/>
          <w:color w:val="FF0000"/>
          <w:lang w:val="en-US" w:eastAsia="zh-CN"/>
        </w:rPr>
      </w:pPr>
      <w:r>
        <w:rPr>
          <w:rFonts w:hint="eastAsia" w:ascii="宋体" w:hAnsi="宋体" w:eastAsia="宋体" w:cs="宋体"/>
          <w:b/>
          <w:color w:val="FF0000"/>
          <w:lang w:val="en-US" w:eastAsia="zh-CN"/>
        </w:rPr>
        <w:t>注：本次投标报价为包干价，包含现场勘查费、方案设计费、施工图设计费、设计单位邀请第三方公司做概算编制的费用、差旅费、住宿费、税费等各项费用。</w:t>
      </w:r>
    </w:p>
    <w:p w14:paraId="166DF984">
      <w:pPr>
        <w:rPr>
          <w:rFonts w:hint="default" w:ascii="宋体" w:hAnsi="宋体" w:eastAsia="宋体" w:cs="宋体"/>
          <w:b/>
          <w:color w:val="FF0000"/>
          <w:lang w:val="en-US" w:eastAsia="zh-CN"/>
        </w:rPr>
      </w:pP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B721B75">
      <w:pPr>
        <w:rPr>
          <w:rFonts w:hint="eastAsia" w:ascii="宋体" w:hAnsi="宋体" w:eastAsia="宋体" w:cs="宋体"/>
          <w:b/>
          <w:color w:val="FF0000"/>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46DF19B9">
      <w:pPr>
        <w:rPr>
          <w:rFonts w:hint="eastAsia" w:ascii="宋体" w:hAnsi="宋体" w:eastAsia="宋体" w:cs="宋体"/>
          <w:b/>
          <w:color w:val="auto"/>
        </w:rPr>
      </w:pPr>
    </w:p>
    <w:p w14:paraId="2E238365">
      <w:pPr>
        <w:rPr>
          <w:rFonts w:hint="eastAsia" w:ascii="宋体" w:hAnsi="宋体" w:eastAsia="宋体" w:cs="宋体"/>
          <w:b/>
          <w:color w:val="auto"/>
        </w:rPr>
      </w:pPr>
    </w:p>
    <w:p w14:paraId="06ADA1C3">
      <w:pPr>
        <w:rPr>
          <w:rFonts w:hint="eastAsia" w:ascii="宋体" w:hAnsi="宋体" w:eastAsia="宋体" w:cs="宋体"/>
          <w:b/>
          <w:color w:val="auto"/>
        </w:rPr>
      </w:pPr>
    </w:p>
    <w:p w14:paraId="18BFEFC5">
      <w:pPr>
        <w:rPr>
          <w:rFonts w:hint="eastAsia" w:ascii="宋体" w:hAnsi="宋体" w:eastAsia="宋体" w:cs="宋体"/>
          <w:b/>
          <w:color w:val="auto"/>
        </w:rPr>
      </w:pPr>
    </w:p>
    <w:p w14:paraId="54DFDCA8">
      <w:pPr>
        <w:rPr>
          <w:rFonts w:hint="eastAsia" w:ascii="宋体" w:hAnsi="宋体" w:eastAsia="宋体" w:cs="宋体"/>
          <w:b/>
          <w:color w:val="auto"/>
        </w:rPr>
      </w:pPr>
    </w:p>
    <w:p w14:paraId="0FEB1A42">
      <w:pPr>
        <w:rPr>
          <w:rFonts w:hint="eastAsia" w:ascii="宋体" w:hAnsi="宋体" w:eastAsia="宋体" w:cs="宋体"/>
          <w:b/>
          <w:color w:val="auto"/>
        </w:rPr>
      </w:pPr>
    </w:p>
    <w:p w14:paraId="37182059">
      <w:pPr>
        <w:rPr>
          <w:rFonts w:hint="eastAsia" w:ascii="宋体" w:hAnsi="宋体" w:eastAsia="宋体" w:cs="宋体"/>
          <w:b/>
          <w:color w:val="auto"/>
        </w:rPr>
      </w:pPr>
    </w:p>
    <w:p w14:paraId="64FDD730">
      <w:pPr>
        <w:rPr>
          <w:rFonts w:hint="eastAsia" w:ascii="宋体" w:hAnsi="宋体" w:eastAsia="宋体" w:cs="宋体"/>
          <w:b/>
          <w:color w:val="auto"/>
        </w:rPr>
      </w:pPr>
    </w:p>
    <w:p w14:paraId="3CDC2EE4">
      <w:pPr>
        <w:rPr>
          <w:rFonts w:hint="eastAsia" w:ascii="宋体" w:hAnsi="宋体" w:eastAsia="宋体" w:cs="宋体"/>
          <w:b/>
          <w:color w:val="auto"/>
        </w:rPr>
      </w:pPr>
    </w:p>
    <w:p w14:paraId="4AFC2F65">
      <w:pPr>
        <w:rPr>
          <w:rFonts w:hint="eastAsia" w:ascii="宋体" w:hAnsi="宋体" w:eastAsia="宋体" w:cs="宋体"/>
          <w:b/>
          <w:color w:val="auto"/>
        </w:rPr>
      </w:pPr>
    </w:p>
    <w:p w14:paraId="666D2813">
      <w:pPr>
        <w:rPr>
          <w:rFonts w:hint="eastAsia" w:ascii="宋体" w:hAnsi="宋体" w:eastAsia="宋体" w:cs="宋体"/>
          <w:b/>
          <w:color w:val="auto"/>
        </w:rPr>
      </w:pPr>
    </w:p>
    <w:p w14:paraId="67065005">
      <w:pPr>
        <w:rPr>
          <w:rFonts w:hint="eastAsia" w:ascii="宋体" w:hAnsi="宋体" w:eastAsia="宋体" w:cs="宋体"/>
          <w:b/>
          <w:color w:val="auto"/>
        </w:rPr>
      </w:pPr>
    </w:p>
    <w:p w14:paraId="30B303F0">
      <w:pPr>
        <w:rPr>
          <w:rFonts w:hint="eastAsia" w:ascii="宋体" w:hAnsi="宋体" w:eastAsia="宋体" w:cs="宋体"/>
          <w:b/>
          <w:color w:val="auto"/>
        </w:rPr>
      </w:pPr>
    </w:p>
    <w:p w14:paraId="6781CBCF">
      <w:pPr>
        <w:rPr>
          <w:rFonts w:hint="eastAsia" w:ascii="宋体" w:hAnsi="宋体" w:eastAsia="宋体" w:cs="宋体"/>
          <w:b/>
          <w:color w:val="auto"/>
        </w:rPr>
      </w:pPr>
    </w:p>
    <w:p w14:paraId="66F69631">
      <w:pPr>
        <w:rPr>
          <w:rFonts w:hint="eastAsia" w:ascii="宋体" w:hAnsi="宋体" w:eastAsia="宋体" w:cs="宋体"/>
          <w:b/>
          <w:color w:val="auto"/>
        </w:rPr>
      </w:pPr>
    </w:p>
    <w:p w14:paraId="3CB43EC9">
      <w:pPr>
        <w:rPr>
          <w:rFonts w:hint="eastAsia" w:ascii="宋体" w:hAnsi="宋体" w:eastAsia="宋体" w:cs="宋体"/>
          <w:b/>
          <w:color w:val="auto"/>
        </w:rPr>
      </w:pPr>
    </w:p>
    <w:p w14:paraId="41EC8D6F">
      <w:pPr>
        <w:rPr>
          <w:rFonts w:hint="eastAsia" w:ascii="宋体" w:hAnsi="宋体" w:eastAsia="宋体" w:cs="宋体"/>
          <w:b/>
          <w:color w:val="auto"/>
        </w:rPr>
      </w:pPr>
    </w:p>
    <w:p w14:paraId="63D6B2AD">
      <w:pPr>
        <w:rPr>
          <w:rFonts w:hint="eastAsia" w:ascii="宋体" w:hAnsi="宋体" w:eastAsia="宋体" w:cs="宋体"/>
          <w:b/>
          <w:color w:val="auto"/>
        </w:rPr>
      </w:pPr>
    </w:p>
    <w:p w14:paraId="1126557D">
      <w:pPr>
        <w:rPr>
          <w:rFonts w:hint="eastAsia" w:ascii="宋体" w:hAnsi="宋体" w:eastAsia="宋体" w:cs="宋体"/>
          <w:b/>
          <w:color w:val="auto"/>
        </w:rPr>
      </w:pPr>
    </w:p>
    <w:p w14:paraId="1754F920">
      <w:pPr>
        <w:rPr>
          <w:rFonts w:hint="eastAsia" w:ascii="宋体" w:hAnsi="宋体" w:eastAsia="宋体" w:cs="宋体"/>
          <w:b/>
          <w:color w:val="auto"/>
        </w:rPr>
      </w:pPr>
    </w:p>
    <w:p w14:paraId="3C95BC64">
      <w:pPr>
        <w:rPr>
          <w:rFonts w:hint="eastAsia" w:ascii="宋体" w:hAnsi="宋体" w:eastAsia="宋体" w:cs="宋体"/>
          <w:b/>
          <w:color w:val="auto"/>
        </w:rPr>
      </w:pPr>
    </w:p>
    <w:p w14:paraId="2CDC673B">
      <w:pPr>
        <w:rPr>
          <w:rFonts w:hint="eastAsia" w:ascii="宋体" w:hAnsi="宋体" w:eastAsia="宋体" w:cs="宋体"/>
          <w:b/>
          <w:color w:val="auto"/>
        </w:rPr>
      </w:pPr>
    </w:p>
    <w:p w14:paraId="407D6BF8">
      <w:pPr>
        <w:rPr>
          <w:rFonts w:hint="eastAsia" w:ascii="宋体" w:hAnsi="宋体" w:eastAsia="宋体" w:cs="宋体"/>
          <w:b/>
          <w:color w:val="auto"/>
        </w:rPr>
      </w:pPr>
    </w:p>
    <w:p w14:paraId="73FC4B90">
      <w:pPr>
        <w:rPr>
          <w:rFonts w:hint="eastAsia" w:ascii="宋体" w:hAnsi="宋体" w:eastAsia="宋体" w:cs="宋体"/>
          <w:b/>
          <w:color w:val="auto"/>
        </w:rPr>
      </w:pPr>
    </w:p>
    <w:p w14:paraId="76FA961A">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42913421"/>
      <w:bookmarkStart w:id="151" w:name="_Toc480979020"/>
      <w:bookmarkStart w:id="152" w:name="_Toc313008358"/>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04B18CB4">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2F586481">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A0BA4CB-C488-42EE-91DA-56D49EB42E7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C1ABC071-4150-41F0-937C-0E64D3BC188B}"/>
  </w:font>
  <w:font w:name="方正仿宋_GBK">
    <w:panose1 w:val="03000509000000000000"/>
    <w:charset w:val="86"/>
    <w:family w:val="script"/>
    <w:pitch w:val="default"/>
    <w:sig w:usb0="00000001" w:usb1="080E0000" w:usb2="00000000" w:usb3="00000000" w:csb0="00040000" w:csb1="00000000"/>
    <w:embedRegular r:id="rId3" w:fontKey="{E4CA1311-B57E-44E3-80D6-E9FCADA8A91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4F00597"/>
    <w:rsid w:val="05E64439"/>
    <w:rsid w:val="05E94CDF"/>
    <w:rsid w:val="065A1406"/>
    <w:rsid w:val="06A45EA9"/>
    <w:rsid w:val="06BC1BB0"/>
    <w:rsid w:val="074B1659"/>
    <w:rsid w:val="07566228"/>
    <w:rsid w:val="07911761"/>
    <w:rsid w:val="07C5765D"/>
    <w:rsid w:val="07F26429"/>
    <w:rsid w:val="084C34CD"/>
    <w:rsid w:val="085853C1"/>
    <w:rsid w:val="0ACF458A"/>
    <w:rsid w:val="0B6515A1"/>
    <w:rsid w:val="0B6F68C5"/>
    <w:rsid w:val="0BAE21B6"/>
    <w:rsid w:val="0BDC31C7"/>
    <w:rsid w:val="0BE1258C"/>
    <w:rsid w:val="0C033E70"/>
    <w:rsid w:val="0C3152C1"/>
    <w:rsid w:val="0C481EEF"/>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54D6667"/>
    <w:rsid w:val="25691FC8"/>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312FA8"/>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40113C23"/>
    <w:rsid w:val="403F2E01"/>
    <w:rsid w:val="404A2E64"/>
    <w:rsid w:val="40AB0EC9"/>
    <w:rsid w:val="40E52488"/>
    <w:rsid w:val="41007A8F"/>
    <w:rsid w:val="414F4EEC"/>
    <w:rsid w:val="415869FC"/>
    <w:rsid w:val="41670862"/>
    <w:rsid w:val="41AB14E8"/>
    <w:rsid w:val="41D4500D"/>
    <w:rsid w:val="41D67141"/>
    <w:rsid w:val="41F534A6"/>
    <w:rsid w:val="41F5463E"/>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C26B09"/>
    <w:rsid w:val="4AD41B9B"/>
    <w:rsid w:val="4AED1C9D"/>
    <w:rsid w:val="4AF95FD3"/>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397E54"/>
    <w:rsid w:val="546107D9"/>
    <w:rsid w:val="546E506B"/>
    <w:rsid w:val="549E2395"/>
    <w:rsid w:val="55297C80"/>
    <w:rsid w:val="56644F18"/>
    <w:rsid w:val="56A12956"/>
    <w:rsid w:val="56B3548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254884"/>
    <w:rsid w:val="5E36741C"/>
    <w:rsid w:val="5F3F2DA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67E25AF"/>
    <w:rsid w:val="66815672"/>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16052</Words>
  <Characters>16667</Characters>
  <Lines>182</Lines>
  <Paragraphs>51</Paragraphs>
  <TotalTime>3</TotalTime>
  <ScaleCrop>false</ScaleCrop>
  <LinksUpToDate>false</LinksUpToDate>
  <CharactersWithSpaces>17880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2024-08-12T00:16:08Z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D90EFDEDCD294DEAB041A069E42458C9</vt:lpwstr>
  </property>
</Properties>
</file>