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color w:val="auto"/>
          <w:sz w:val="28"/>
          <w:szCs w:val="20"/>
        </w:rPr>
      </w:pPr>
    </w:p>
    <w:p>
      <w:pPr>
        <w:rPr>
          <w:rFonts w:hint="eastAsia" w:ascii="宋体" w:hAnsi="宋体" w:eastAsia="宋体" w:cs="宋体"/>
          <w:color w:val="auto"/>
          <w:sz w:val="28"/>
          <w:szCs w:val="20"/>
        </w:rPr>
      </w:pPr>
    </w:p>
    <w:p>
      <w:pPr>
        <w:rPr>
          <w:rFonts w:hint="eastAsia" w:ascii="宋体" w:hAnsi="宋体" w:eastAsia="宋体" w:cs="宋体"/>
          <w:color w:val="auto"/>
          <w:sz w:val="28"/>
          <w:szCs w:val="20"/>
        </w:rPr>
      </w:pPr>
    </w:p>
    <w:p>
      <w:pPr>
        <w:jc w:val="center"/>
        <w:outlineLvl w:val="0"/>
        <w:rPr>
          <w:rFonts w:hint="eastAsia" w:ascii="宋体" w:hAnsi="宋体" w:eastAsia="宋体" w:cs="宋体"/>
          <w:color w:val="auto"/>
          <w:sz w:val="44"/>
          <w:szCs w:val="44"/>
        </w:rPr>
      </w:pPr>
      <w:r>
        <w:rPr>
          <w:rFonts w:hint="eastAsia" w:ascii="宋体" w:hAnsi="宋体" w:eastAsia="宋体" w:cs="宋体"/>
          <w:color w:val="auto"/>
          <w:sz w:val="44"/>
          <w:szCs w:val="44"/>
        </w:rPr>
        <w:t>重庆医科大学附属永川医院</w:t>
      </w:r>
    </w:p>
    <w:p>
      <w:pPr>
        <w:jc w:val="center"/>
        <w:outlineLvl w:val="0"/>
        <w:rPr>
          <w:rFonts w:hint="eastAsia" w:ascii="宋体" w:hAnsi="宋体" w:eastAsia="宋体" w:cs="宋体"/>
          <w:color w:val="auto"/>
          <w:sz w:val="44"/>
          <w:szCs w:val="44"/>
        </w:rPr>
      </w:pPr>
    </w:p>
    <w:p>
      <w:pPr>
        <w:jc w:val="center"/>
        <w:outlineLvl w:val="0"/>
        <w:rPr>
          <w:rFonts w:hint="eastAsia" w:ascii="宋体" w:hAnsi="宋体" w:eastAsia="宋体" w:cs="宋体"/>
          <w:color w:val="auto"/>
          <w:spacing w:val="80"/>
          <w:sz w:val="44"/>
          <w:szCs w:val="44"/>
        </w:rPr>
      </w:pPr>
    </w:p>
    <w:p>
      <w:pPr>
        <w:jc w:val="center"/>
        <w:outlineLvl w:val="0"/>
        <w:rPr>
          <w:rFonts w:hint="eastAsia" w:ascii="宋体" w:hAnsi="宋体" w:eastAsia="宋体" w:cs="宋体"/>
          <w:color w:val="auto"/>
          <w:spacing w:val="80"/>
          <w:sz w:val="44"/>
          <w:szCs w:val="44"/>
        </w:rPr>
      </w:pPr>
      <w:r>
        <w:rPr>
          <w:rFonts w:hint="eastAsia" w:ascii="宋体" w:hAnsi="宋体" w:eastAsia="宋体" w:cs="宋体"/>
          <w:color w:val="auto"/>
          <w:spacing w:val="80"/>
          <w:sz w:val="44"/>
          <w:szCs w:val="44"/>
        </w:rPr>
        <w:t>比选文件</w:t>
      </w:r>
    </w:p>
    <w:p>
      <w:pPr>
        <w:spacing w:line="700" w:lineRule="exact"/>
        <w:ind w:firstLine="840" w:firstLineChars="300"/>
        <w:rPr>
          <w:rFonts w:hint="eastAsia" w:ascii="宋体" w:hAnsi="宋体" w:eastAsia="宋体" w:cs="宋体"/>
          <w:color w:val="auto"/>
          <w:sz w:val="28"/>
          <w:szCs w:val="28"/>
        </w:rPr>
      </w:pPr>
    </w:p>
    <w:p>
      <w:pPr>
        <w:spacing w:line="700" w:lineRule="exact"/>
        <w:ind w:firstLine="840" w:firstLineChars="300"/>
        <w:rPr>
          <w:rFonts w:hint="eastAsia" w:ascii="宋体" w:hAnsi="宋体" w:eastAsia="宋体" w:cs="宋体"/>
          <w:color w:val="auto"/>
          <w:sz w:val="28"/>
          <w:szCs w:val="28"/>
        </w:rPr>
      </w:pPr>
    </w:p>
    <w:p>
      <w:pPr>
        <w:spacing w:line="700" w:lineRule="exact"/>
        <w:ind w:firstLine="840" w:firstLineChars="300"/>
        <w:rPr>
          <w:rFonts w:hint="eastAsia" w:ascii="宋体" w:hAnsi="宋体" w:eastAsia="宋体" w:cs="宋体"/>
          <w:color w:val="auto"/>
          <w:sz w:val="28"/>
          <w:szCs w:val="28"/>
        </w:rPr>
      </w:pPr>
    </w:p>
    <w:p>
      <w:pPr>
        <w:spacing w:line="700" w:lineRule="exact"/>
        <w:ind w:firstLine="840" w:firstLineChars="3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项目编号：</w:t>
      </w:r>
      <w:r>
        <w:rPr>
          <w:rFonts w:hint="eastAsia" w:ascii="宋体" w:hAnsi="宋体" w:eastAsia="宋体" w:cs="宋体"/>
          <w:color w:val="auto"/>
          <w:sz w:val="28"/>
          <w:szCs w:val="28"/>
          <w:lang w:val="en-US" w:eastAsia="zh-CN"/>
        </w:rPr>
        <w:t>2024FW039</w:t>
      </w:r>
    </w:p>
    <w:p>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lang w:val="en-US" w:eastAsia="zh-CN"/>
        </w:rPr>
        <w:t>毕业典礼设施设备租用服务</w:t>
      </w:r>
    </w:p>
    <w:p>
      <w:pPr>
        <w:spacing w:line="700" w:lineRule="exact"/>
        <w:ind w:firstLine="840" w:firstLineChars="300"/>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700" w:lineRule="exact"/>
        <w:ind w:firstLine="840" w:firstLineChars="300"/>
        <w:rPr>
          <w:rFonts w:hint="eastAsia" w:ascii="宋体" w:hAnsi="宋体" w:eastAsia="宋体" w:cs="宋体"/>
          <w:color w:val="auto"/>
          <w:sz w:val="28"/>
          <w:szCs w:val="28"/>
        </w:rPr>
      </w:pPr>
    </w:p>
    <w:p>
      <w:pPr>
        <w:spacing w:line="700" w:lineRule="exact"/>
        <w:ind w:firstLine="840" w:firstLineChars="300"/>
        <w:rPr>
          <w:rFonts w:hint="eastAsia" w:ascii="宋体" w:hAnsi="宋体" w:eastAsia="宋体" w:cs="宋体"/>
          <w:color w:val="auto"/>
          <w:sz w:val="28"/>
          <w:szCs w:val="28"/>
        </w:rPr>
      </w:pPr>
    </w:p>
    <w:p>
      <w:pPr>
        <w:spacing w:line="700" w:lineRule="exact"/>
        <w:ind w:firstLine="840" w:firstLineChars="300"/>
        <w:rPr>
          <w:rFonts w:hint="eastAsia" w:ascii="宋体" w:hAnsi="宋体" w:eastAsia="宋体" w:cs="宋体"/>
          <w:color w:val="auto"/>
          <w:sz w:val="28"/>
          <w:szCs w:val="28"/>
        </w:rPr>
      </w:pPr>
    </w:p>
    <w:p>
      <w:pPr>
        <w:spacing w:line="700" w:lineRule="exact"/>
        <w:ind w:firstLine="840" w:firstLineChars="300"/>
        <w:rPr>
          <w:rFonts w:hint="eastAsia" w:ascii="宋体" w:hAnsi="宋体" w:eastAsia="宋体" w:cs="宋体"/>
          <w:color w:val="auto"/>
          <w:sz w:val="28"/>
          <w:szCs w:val="28"/>
        </w:rPr>
      </w:pPr>
    </w:p>
    <w:p>
      <w:pPr>
        <w:spacing w:line="760" w:lineRule="exact"/>
        <w:ind w:firstLine="1440" w:firstLineChars="400"/>
        <w:rPr>
          <w:rFonts w:hint="eastAsia" w:ascii="宋体" w:hAnsi="宋体" w:eastAsia="宋体" w:cs="宋体"/>
          <w:color w:val="auto"/>
          <w:sz w:val="40"/>
          <w:szCs w:val="40"/>
        </w:rPr>
      </w:pPr>
      <w:r>
        <w:rPr>
          <w:rFonts w:hint="eastAsia" w:ascii="宋体" w:hAnsi="宋体" w:eastAsia="宋体" w:cs="宋体"/>
          <w:color w:val="auto"/>
          <w:sz w:val="36"/>
        </w:rPr>
        <w:t>采购人</w:t>
      </w:r>
      <w:r>
        <w:rPr>
          <w:rFonts w:hint="eastAsia" w:ascii="宋体" w:hAnsi="宋体" w:eastAsia="宋体" w:cs="宋体"/>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hint="eastAsia" w:ascii="宋体" w:hAnsi="宋体" w:eastAsia="宋体" w:cs="宋体"/>
          <w:color w:val="auto"/>
          <w:sz w:val="30"/>
          <w:szCs w:val="30"/>
        </w:rPr>
      </w:pPr>
    </w:p>
    <w:p>
      <w:pPr>
        <w:spacing w:line="42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28"/>
          <w:szCs w:val="28"/>
        </w:rPr>
        <w:t>二〇二</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rPr>
        <w:t>年</w:t>
      </w:r>
      <w:r>
        <w:rPr>
          <w:rFonts w:hint="eastAsia" w:ascii="宋体" w:hAnsi="宋体" w:eastAsia="宋体" w:cs="宋体"/>
          <w:color w:val="auto"/>
          <w:sz w:val="28"/>
          <w:szCs w:val="28"/>
          <w:lang w:eastAsia="zh-CN"/>
        </w:rPr>
        <w:t>六月</w:t>
      </w:r>
    </w:p>
    <w:p>
      <w:pPr>
        <w:spacing w:line="420" w:lineRule="exact"/>
        <w:jc w:val="center"/>
        <w:outlineLvl w:val="0"/>
        <w:rPr>
          <w:rFonts w:hint="eastAsia" w:ascii="宋体" w:hAnsi="宋体" w:eastAsia="宋体" w:cs="宋体"/>
          <w:color w:val="auto"/>
          <w:sz w:val="44"/>
          <w:szCs w:val="28"/>
        </w:rPr>
      </w:pPr>
    </w:p>
    <w:p>
      <w:pPr>
        <w:spacing w:line="420" w:lineRule="exact"/>
        <w:jc w:val="center"/>
        <w:outlineLvl w:val="0"/>
        <w:rPr>
          <w:rFonts w:hint="eastAsia" w:ascii="宋体" w:hAnsi="宋体" w:eastAsia="宋体" w:cs="宋体"/>
          <w:color w:val="auto"/>
          <w:sz w:val="44"/>
          <w:szCs w:val="28"/>
        </w:rPr>
      </w:pPr>
    </w:p>
    <w:p>
      <w:pPr>
        <w:spacing w:line="420" w:lineRule="exact"/>
        <w:jc w:val="center"/>
        <w:outlineLvl w:val="0"/>
        <w:rPr>
          <w:rFonts w:hint="eastAsia" w:ascii="宋体" w:hAnsi="宋体" w:eastAsia="宋体" w:cs="宋体"/>
          <w:color w:val="auto"/>
          <w:sz w:val="44"/>
          <w:szCs w:val="28"/>
        </w:rPr>
      </w:pPr>
    </w:p>
    <w:p>
      <w:pPr>
        <w:spacing w:line="420" w:lineRule="exact"/>
        <w:jc w:val="center"/>
        <w:outlineLvl w:val="0"/>
        <w:rPr>
          <w:rFonts w:hint="eastAsia" w:ascii="宋体" w:hAnsi="宋体" w:eastAsia="宋体" w:cs="宋体"/>
          <w:color w:val="auto"/>
          <w:sz w:val="44"/>
          <w:szCs w:val="28"/>
        </w:rPr>
      </w:pPr>
    </w:p>
    <w:p>
      <w:pPr>
        <w:spacing w:line="420" w:lineRule="exact"/>
        <w:jc w:val="center"/>
        <w:outlineLvl w:val="0"/>
        <w:rPr>
          <w:rFonts w:hint="eastAsia" w:ascii="宋体" w:hAnsi="宋体" w:eastAsia="宋体" w:cs="宋体"/>
          <w:color w:val="auto"/>
          <w:sz w:val="44"/>
          <w:szCs w:val="28"/>
        </w:rPr>
      </w:pPr>
    </w:p>
    <w:p>
      <w:pPr>
        <w:spacing w:line="480" w:lineRule="exact"/>
        <w:jc w:val="center"/>
        <w:outlineLvl w:val="0"/>
        <w:rPr>
          <w:rFonts w:hint="eastAsia" w:ascii="宋体" w:hAnsi="宋体" w:eastAsia="宋体" w:cs="宋体"/>
          <w:color w:val="auto"/>
          <w:sz w:val="44"/>
          <w:szCs w:val="28"/>
        </w:rPr>
      </w:pPr>
    </w:p>
    <w:p>
      <w:pPr>
        <w:spacing w:line="480" w:lineRule="exact"/>
        <w:jc w:val="center"/>
        <w:outlineLvl w:val="0"/>
        <w:rPr>
          <w:rFonts w:hint="eastAsia" w:ascii="宋体" w:hAnsi="宋体" w:eastAsia="宋体" w:cs="宋体"/>
          <w:color w:val="auto"/>
          <w:sz w:val="44"/>
          <w:szCs w:val="28"/>
        </w:rPr>
      </w:pPr>
      <w:r>
        <w:rPr>
          <w:rFonts w:hint="eastAsia" w:ascii="宋体" w:hAnsi="宋体" w:eastAsia="宋体" w:cs="宋体"/>
          <w:color w:val="auto"/>
          <w:sz w:val="44"/>
          <w:szCs w:val="28"/>
        </w:rPr>
        <w:t xml:space="preserve">  目   录</w:t>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TOC \o "1-3" \h \z </w:instrText>
      </w:r>
      <w:r>
        <w:rPr>
          <w:rFonts w:hint="eastAsia" w:ascii="宋体" w:hAnsi="宋体" w:eastAsia="宋体" w:cs="宋体"/>
          <w:color w:val="auto"/>
          <w:szCs w:val="21"/>
        </w:rPr>
        <w:fldChar w:fldCharType="separate"/>
      </w: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_Toc25875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第一篇  比选邀请书</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_Toc25875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_Toc28443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_Toc28443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_Toc6609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val="en-US" w:eastAsia="zh-CN"/>
        </w:rPr>
        <w:t>二、资金来源</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_Toc6609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_Toc23857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三、供应商资格要求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_Toc23857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_Toc11958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四、比选有关说明</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_Toc11958 \h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_Toc29866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五、本项目无需购买比选文件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_Toc29866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_Toc2806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六、其它有关规定</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_Toc2806 \h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_Toc2183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七、防疫要求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_Toc2183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_Toc9130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八、联系方式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_Toc9130 \h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_Toc22321 </w:instrText>
      </w:r>
      <w:r>
        <w:rPr>
          <w:rFonts w:hint="eastAsia" w:ascii="宋体" w:hAnsi="宋体" w:eastAsia="宋体" w:cs="宋体"/>
          <w:color w:val="auto"/>
          <w:szCs w:val="21"/>
        </w:rPr>
        <w:fldChar w:fldCharType="separate"/>
      </w:r>
      <w:r>
        <w:rPr>
          <w:rFonts w:hint="eastAsia" w:ascii="宋体" w:hAnsi="宋体" w:eastAsia="宋体" w:cs="宋体"/>
          <w:bCs/>
          <w:color w:val="auto"/>
          <w:szCs w:val="36"/>
        </w:rPr>
        <w:t>第二篇 供应商须知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_Toc22321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_Toc11386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一、比选费用</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_Toc11386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_Toc8430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二、比选文件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_Toc8430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_Toc23254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三、比选要求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_Toc23254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_Toc19143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四、比选程序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_Toc19143 \h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_Toc14247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五、评审依据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_Toc14247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_Toc14816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六、成交原则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_Toc14816 \h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_Toc7135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七、成交通知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_Toc7135 \h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_Toc12880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八、关于质疑和投诉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_Toc12880 \h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_Toc5728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九、签订合同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_Toc5728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_Toc7675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十、其他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_Toc7675 \h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_Toc11770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第三篇  项目服务需求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_Toc11770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_Toc766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项目概况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_Toc766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_Toc18590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w:t>
      </w:r>
      <w:r>
        <w:rPr>
          <w:rFonts w:hint="eastAsia" w:ascii="宋体" w:hAnsi="宋体" w:eastAsia="宋体" w:cs="宋体"/>
          <w:color w:val="auto"/>
          <w:szCs w:val="24"/>
          <w:lang w:eastAsia="zh-CN"/>
        </w:rPr>
        <w:t>需</w:t>
      </w:r>
      <w:r>
        <w:rPr>
          <w:rFonts w:hint="eastAsia" w:ascii="宋体" w:hAnsi="宋体" w:eastAsia="宋体" w:cs="宋体"/>
          <w:color w:val="auto"/>
          <w:szCs w:val="24"/>
        </w:rPr>
        <w:t>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_Toc18590 \h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_Toc28327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第四篇  项目商务需求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_Toc28327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_Toc2302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w:t>
      </w:r>
      <w:r>
        <w:rPr>
          <w:rFonts w:hint="eastAsia" w:ascii="宋体" w:hAnsi="宋体" w:eastAsia="宋体" w:cs="宋体"/>
          <w:color w:val="auto"/>
          <w:szCs w:val="24"/>
          <w:lang w:eastAsia="zh-CN"/>
        </w:rPr>
        <w:t>商务需求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_Toc2302 \h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_Toc26361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二</w:t>
      </w:r>
      <w:r>
        <w:rPr>
          <w:rFonts w:hint="eastAsia" w:ascii="宋体" w:hAnsi="宋体" w:eastAsia="宋体" w:cs="宋体"/>
          <w:color w:val="auto"/>
          <w:szCs w:val="24"/>
        </w:rPr>
        <w:t>、</w:t>
      </w:r>
      <w:r>
        <w:rPr>
          <w:rFonts w:hint="eastAsia" w:ascii="宋体" w:hAnsi="宋体" w:eastAsia="宋体" w:cs="宋体"/>
          <w:color w:val="auto"/>
          <w:szCs w:val="24"/>
          <w:lang w:eastAsia="zh-CN"/>
        </w:rPr>
        <w:t>知识产权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_Toc26361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_Toc7358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三</w:t>
      </w:r>
      <w:r>
        <w:rPr>
          <w:rFonts w:hint="eastAsia" w:ascii="宋体" w:hAnsi="宋体" w:eastAsia="宋体" w:cs="宋体"/>
          <w:color w:val="auto"/>
          <w:szCs w:val="24"/>
        </w:rPr>
        <w:t>、其他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_Toc7358 \h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_Toc14840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第五篇  合同草案条款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_Toc14840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_Toc30815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一、定义</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_Toc30815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_Toc17879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w:t>
      </w:r>
      <w:r>
        <w:rPr>
          <w:rFonts w:hint="eastAsia" w:ascii="宋体" w:hAnsi="宋体" w:eastAsia="宋体" w:cs="宋体"/>
          <w:color w:val="auto"/>
          <w:szCs w:val="24"/>
          <w:lang w:eastAsia="zh-CN"/>
        </w:rPr>
        <w:t>服务</w:t>
      </w:r>
      <w:r>
        <w:rPr>
          <w:rFonts w:hint="eastAsia" w:ascii="宋体" w:hAnsi="宋体" w:eastAsia="宋体" w:cs="宋体"/>
          <w:color w:val="auto"/>
          <w:szCs w:val="24"/>
        </w:rPr>
        <w:t>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_Toc17879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_Toc8853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三、合同价格</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_Toc8853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_Toc24410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四、转包或分包</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_Toc24410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_Toc2241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五、质量保证及售后服务</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_Toc2241 \h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_Toc9053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六、付款</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_Toc9053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_Toc11586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七</w:t>
      </w:r>
      <w:r>
        <w:rPr>
          <w:rFonts w:hint="eastAsia" w:ascii="宋体" w:hAnsi="宋体" w:eastAsia="宋体" w:cs="宋体"/>
          <w:color w:val="auto"/>
          <w:szCs w:val="24"/>
        </w:rPr>
        <w:t>、合同争议的解决</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_Toc11586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_Toc26580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八</w:t>
      </w:r>
      <w:r>
        <w:rPr>
          <w:rFonts w:hint="eastAsia" w:ascii="宋体" w:hAnsi="宋体" w:eastAsia="宋体" w:cs="宋体"/>
          <w:color w:val="auto"/>
          <w:szCs w:val="24"/>
        </w:rPr>
        <w:t>、违约责任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_Toc26580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_Toc16142 </w:instrText>
      </w:r>
      <w:r>
        <w:rPr>
          <w:rFonts w:hint="eastAsia" w:ascii="宋体" w:hAnsi="宋体" w:eastAsia="宋体" w:cs="宋体"/>
          <w:color w:val="auto"/>
          <w:szCs w:val="21"/>
        </w:rPr>
        <w:fldChar w:fldCharType="separate"/>
      </w:r>
      <w:r>
        <w:rPr>
          <w:rFonts w:hint="eastAsia" w:ascii="宋体" w:hAnsi="宋体" w:eastAsia="宋体" w:cs="宋体"/>
          <w:color w:val="auto"/>
          <w:szCs w:val="24"/>
          <w:lang w:eastAsia="zh-CN"/>
        </w:rPr>
        <w:t>九</w:t>
      </w:r>
      <w:r>
        <w:rPr>
          <w:rFonts w:hint="eastAsia" w:ascii="宋体" w:hAnsi="宋体" w:eastAsia="宋体" w:cs="宋体"/>
          <w:color w:val="auto"/>
          <w:szCs w:val="24"/>
        </w:rPr>
        <w:t>、合同生效及其它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_Toc16142 \h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_Toc13696 </w:instrText>
      </w:r>
      <w:r>
        <w:rPr>
          <w:rFonts w:hint="eastAsia" w:ascii="宋体" w:hAnsi="宋体" w:eastAsia="宋体" w:cs="宋体"/>
          <w:color w:val="auto"/>
          <w:szCs w:val="21"/>
        </w:rPr>
        <w:fldChar w:fldCharType="separate"/>
      </w:r>
      <w:r>
        <w:rPr>
          <w:rFonts w:hint="eastAsia" w:ascii="宋体" w:hAnsi="宋体" w:eastAsia="宋体" w:cs="宋体"/>
          <w:color w:val="auto"/>
          <w:szCs w:val="36"/>
        </w:rPr>
        <w:t>第六篇  响应文件格式要求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_Toc13696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_Toc27382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一、经济部分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_Toc27382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_Toc6305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二、服务部分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_Toc6305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_Toc7207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三、商务部分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_Toc7207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_Toc18417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四、资格条件及其他</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_Toc18417 \h </w:instrText>
      </w:r>
      <w:r>
        <w:rPr>
          <w:rFonts w:hint="eastAsia" w:ascii="宋体" w:hAnsi="宋体" w:eastAsia="宋体" w:cs="宋体"/>
          <w:color w:val="auto"/>
        </w:rPr>
        <w:fldChar w:fldCharType="separate"/>
      </w:r>
      <w:r>
        <w:rPr>
          <w:rFonts w:hint="eastAsia" w:ascii="宋体" w:hAnsi="宋体" w:eastAsia="宋体" w:cs="宋体"/>
          <w:color w:val="auto"/>
        </w:rPr>
        <w:t>19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pStyle w:val="45"/>
        <w:tabs>
          <w:tab w:val="right" w:leader="dot" w:pos="9412"/>
        </w:tabs>
        <w:rPr>
          <w:rFonts w:hint="eastAsia" w:ascii="宋体" w:hAnsi="宋体" w:eastAsia="宋体" w:cs="宋体"/>
          <w:color w:val="auto"/>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_Toc19884 </w:instrText>
      </w:r>
      <w:r>
        <w:rPr>
          <w:rFonts w:hint="eastAsia" w:ascii="宋体" w:hAnsi="宋体" w:eastAsia="宋体" w:cs="宋体"/>
          <w:color w:val="auto"/>
          <w:szCs w:val="21"/>
        </w:rPr>
        <w:fldChar w:fldCharType="separate"/>
      </w:r>
      <w:r>
        <w:rPr>
          <w:rFonts w:hint="eastAsia" w:ascii="宋体" w:hAnsi="宋体" w:eastAsia="宋体" w:cs="宋体"/>
          <w:color w:val="auto"/>
          <w:szCs w:val="24"/>
        </w:rPr>
        <w:t>五、其他应提供的资料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_Toc19884 \h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jc w:val="both"/>
        <w:rPr>
          <w:rFonts w:hint="eastAsia" w:ascii="宋体" w:hAnsi="宋体" w:eastAsia="宋体" w:cs="宋体"/>
          <w:color w:val="auto"/>
          <w:sz w:val="32"/>
          <w:szCs w:val="32"/>
        </w:rPr>
      </w:pPr>
      <w:r>
        <w:rPr>
          <w:rFonts w:hint="eastAsia" w:ascii="宋体" w:hAnsi="宋体" w:eastAsia="宋体" w:cs="宋体"/>
          <w:color w:val="auto"/>
          <w:szCs w:val="21"/>
        </w:rPr>
        <w:fldChar w:fldCharType="begin"/>
      </w:r>
      <w:r>
        <w:rPr>
          <w:rFonts w:hint="eastAsia" w:ascii="宋体" w:hAnsi="宋体" w:eastAsia="宋体" w:cs="宋体"/>
          <w:color w:val="auto"/>
          <w:szCs w:val="21"/>
        </w:rPr>
        <w:instrText xml:space="preserve"> HYPERLINK \l _Toc23716 </w:instrText>
      </w:r>
      <w:r>
        <w:rPr>
          <w:rFonts w:hint="eastAsia" w:ascii="宋体" w:hAnsi="宋体" w:eastAsia="宋体" w:cs="宋体"/>
          <w:color w:val="auto"/>
          <w:szCs w:val="21"/>
        </w:rPr>
        <w:fldChar w:fldCharType="separate"/>
      </w:r>
      <w:r>
        <w:rPr>
          <w:rFonts w:hint="eastAsia" w:ascii="宋体" w:hAnsi="宋体" w:eastAsia="宋体" w:cs="宋体"/>
          <w:color w:val="auto"/>
          <w:sz w:val="32"/>
          <w:szCs w:val="32"/>
        </w:rPr>
        <w:t>中小微企业声明函</w:t>
      </w:r>
    </w:p>
    <w:p>
      <w:pPr>
        <w:pStyle w:val="37"/>
        <w:tabs>
          <w:tab w:val="right" w:leader="dot" w:pos="9412"/>
        </w:tabs>
        <w:rPr>
          <w:rFonts w:hint="eastAsia" w:ascii="宋体" w:hAnsi="宋体" w:eastAsia="宋体" w:cs="宋体"/>
          <w:color w:val="auto"/>
        </w:rPr>
      </w:pP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_Toc23716 \h </w:instrText>
      </w:r>
      <w:r>
        <w:rPr>
          <w:rFonts w:hint="eastAsia" w:ascii="宋体" w:hAnsi="宋体" w:eastAsia="宋体" w:cs="宋体"/>
          <w:color w:val="auto"/>
        </w:rPr>
        <w:fldChar w:fldCharType="separate"/>
      </w:r>
      <w:r>
        <w:rPr>
          <w:rFonts w:hint="eastAsia" w:ascii="宋体" w:hAnsi="宋体" w:eastAsia="宋体" w:cs="宋体"/>
          <w:color w:val="auto"/>
        </w:rPr>
        <w:t>39</w:t>
      </w:r>
      <w:r>
        <w:rPr>
          <w:rFonts w:hint="eastAsia" w:ascii="宋体" w:hAnsi="宋体" w:eastAsia="宋体" w:cs="宋体"/>
          <w:color w:val="auto"/>
        </w:rPr>
        <w:fldChar w:fldCharType="end"/>
      </w:r>
      <w:r>
        <w:rPr>
          <w:rFonts w:hint="eastAsia" w:ascii="宋体" w:hAnsi="宋体" w:eastAsia="宋体" w:cs="宋体"/>
          <w:color w:val="auto"/>
          <w:szCs w:val="21"/>
        </w:rPr>
        <w:fldChar w:fldCharType="end"/>
      </w:r>
    </w:p>
    <w:p>
      <w:pPr>
        <w:tabs>
          <w:tab w:val="right" w:leader="dot" w:pos="9402"/>
        </w:tabs>
        <w:spacing w:line="480" w:lineRule="exact"/>
        <w:ind w:left="420" w:leftChars="200"/>
        <w:rPr>
          <w:rFonts w:hint="eastAsia" w:ascii="宋体" w:hAnsi="宋体" w:eastAsia="宋体" w:cs="宋体"/>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rPr>
        <w:fldChar w:fldCharType="end"/>
      </w:r>
    </w:p>
    <w:p>
      <w:pPr>
        <w:pStyle w:val="2"/>
        <w:bidi w:val="0"/>
        <w:jc w:val="center"/>
        <w:rPr>
          <w:rFonts w:hint="eastAsia" w:ascii="宋体" w:hAnsi="宋体" w:eastAsia="宋体" w:cs="宋体"/>
          <w:b/>
          <w:color w:val="auto"/>
        </w:rPr>
      </w:pPr>
      <w:bookmarkStart w:id="0" w:name="_Toc11641050"/>
      <w:bookmarkStart w:id="1" w:name="_Toc485108766"/>
      <w:bookmarkStart w:id="2" w:name="_Toc25875"/>
      <w:bookmarkStart w:id="3" w:name="_Toc12789052"/>
      <w:r>
        <w:rPr>
          <w:rFonts w:hint="eastAsia" w:ascii="宋体" w:hAnsi="宋体" w:eastAsia="宋体" w:cs="宋体"/>
          <w:b/>
          <w:bCs/>
          <w:color w:val="auto"/>
          <w:sz w:val="36"/>
          <w:szCs w:val="36"/>
        </w:rPr>
        <w:t>第一篇  比选邀请书</w:t>
      </w:r>
      <w:bookmarkEnd w:id="0"/>
      <w:bookmarkEnd w:id="1"/>
      <w:bookmarkEnd w:id="2"/>
      <w:bookmarkEnd w:id="3"/>
    </w:p>
    <w:p>
      <w:pPr>
        <w:ind w:firstLine="480" w:firstLineChars="200"/>
        <w:jc w:val="left"/>
        <w:rPr>
          <w:rFonts w:hint="eastAsia" w:ascii="宋体" w:hAnsi="宋体" w:eastAsia="宋体" w:cs="宋体"/>
          <w:color w:val="auto"/>
          <w:sz w:val="24"/>
          <w:szCs w:val="24"/>
        </w:rPr>
      </w:pPr>
      <w:bookmarkStart w:id="4" w:name="_Toc373860293"/>
      <w:bookmarkStart w:id="5" w:name="_Toc317775178"/>
      <w:r>
        <w:rPr>
          <w:rFonts w:hint="eastAsia" w:ascii="宋体" w:hAnsi="宋体" w:eastAsia="宋体" w:cs="宋体"/>
          <w:color w:val="auto"/>
          <w:sz w:val="24"/>
          <w:szCs w:val="24"/>
        </w:rPr>
        <w:t>重庆医科大学附属永川医院对</w:t>
      </w:r>
      <w:r>
        <w:rPr>
          <w:rFonts w:hint="eastAsia" w:ascii="宋体" w:hAnsi="宋体" w:eastAsia="宋体" w:cs="宋体"/>
          <w:color w:val="auto"/>
          <w:sz w:val="24"/>
          <w:szCs w:val="24"/>
          <w:lang w:eastAsia="zh-CN"/>
        </w:rPr>
        <w:t>毕业典礼设施设备租用服务</w:t>
      </w:r>
      <w:r>
        <w:rPr>
          <w:rFonts w:hint="eastAsia" w:ascii="宋体" w:hAnsi="宋体" w:eastAsia="宋体" w:cs="宋体"/>
          <w:color w:val="auto"/>
          <w:sz w:val="24"/>
          <w:szCs w:val="24"/>
        </w:rPr>
        <w:t>进行院内比选采购。欢迎有资格、有实力的潜在供应商参加。</w:t>
      </w:r>
    </w:p>
    <w:p>
      <w:pPr>
        <w:pStyle w:val="3"/>
        <w:spacing w:line="240" w:lineRule="auto"/>
        <w:rPr>
          <w:rFonts w:hint="eastAsia" w:ascii="宋体" w:hAnsi="宋体" w:eastAsia="宋体" w:cs="宋体"/>
          <w:color w:val="auto"/>
          <w:sz w:val="24"/>
          <w:szCs w:val="24"/>
        </w:rPr>
      </w:pPr>
      <w:bookmarkStart w:id="6" w:name="_Toc28443"/>
      <w:bookmarkStart w:id="7" w:name="_Toc317775175"/>
      <w:bookmarkStart w:id="8" w:name="_Toc485108767"/>
      <w:bookmarkStart w:id="9" w:name="_Toc313893526"/>
      <w:r>
        <w:rPr>
          <w:rFonts w:hint="eastAsia" w:ascii="宋体" w:hAnsi="宋体" w:eastAsia="宋体" w:cs="宋体"/>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2548" w:type="dxa"/>
            <w:vAlign w:val="center"/>
          </w:tcPr>
          <w:p>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成交供应商数量（名）</w:t>
            </w:r>
          </w:p>
        </w:tc>
        <w:tc>
          <w:tcPr>
            <w:tcW w:w="2851" w:type="dxa"/>
            <w:vAlign w:val="center"/>
          </w:tcPr>
          <w:p>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毕业典礼设施设备租用服务</w:t>
            </w:r>
          </w:p>
        </w:tc>
        <w:tc>
          <w:tcPr>
            <w:tcW w:w="2548" w:type="dxa"/>
            <w:vAlign w:val="center"/>
          </w:tcPr>
          <w:p>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851" w:type="dxa"/>
            <w:vAlign w:val="center"/>
          </w:tcPr>
          <w:p>
            <w:pPr>
              <w:spacing w:line="400" w:lineRule="exact"/>
              <w:jc w:val="center"/>
              <w:rPr>
                <w:rFonts w:hint="eastAsia" w:ascii="宋体" w:hAnsi="宋体" w:eastAsia="宋体" w:cs="宋体"/>
                <w:color w:val="auto"/>
                <w:sz w:val="24"/>
                <w:szCs w:val="24"/>
                <w:lang w:val="en-US" w:eastAsia="zh-CN"/>
              </w:rPr>
            </w:pPr>
          </w:p>
        </w:tc>
      </w:tr>
    </w:tbl>
    <w:p>
      <w:pPr>
        <w:pStyle w:val="22"/>
        <w:numPr>
          <w:ilvl w:val="0"/>
          <w:numId w:val="0"/>
        </w:numPr>
        <w:rPr>
          <w:rFonts w:hint="eastAsia" w:ascii="宋体" w:hAnsi="宋体" w:eastAsia="宋体" w:cs="宋体"/>
          <w:b/>
          <w:bCs/>
          <w:color w:val="FF0000"/>
          <w:sz w:val="24"/>
          <w:szCs w:val="24"/>
          <w:lang w:val="en-US" w:eastAsia="zh-CN"/>
        </w:rPr>
      </w:pPr>
      <w:bookmarkStart w:id="10" w:name="_Toc485108768"/>
      <w:bookmarkStart w:id="11" w:name="_Toc6609"/>
      <w:r>
        <w:rPr>
          <w:rFonts w:hint="eastAsia" w:ascii="宋体" w:hAnsi="宋体" w:eastAsia="宋体" w:cs="宋体"/>
          <w:b/>
          <w:bCs/>
          <w:color w:val="FF0000"/>
          <w:sz w:val="24"/>
          <w:szCs w:val="24"/>
          <w:lang w:val="en-US" w:eastAsia="zh-CN"/>
        </w:rPr>
        <w:t>二、资金来源</w:t>
      </w:r>
      <w:bookmarkEnd w:id="10"/>
      <w:bookmarkEnd w:id="11"/>
      <w:r>
        <w:rPr>
          <w:rFonts w:hint="eastAsia" w:ascii="宋体" w:hAnsi="宋体" w:eastAsia="宋体" w:cs="宋体"/>
          <w:b/>
          <w:bCs/>
          <w:color w:val="FF0000"/>
          <w:sz w:val="24"/>
          <w:szCs w:val="24"/>
          <w:lang w:val="en-US" w:eastAsia="zh-CN"/>
        </w:rPr>
        <w:t>：2024年教学经费。</w:t>
      </w:r>
    </w:p>
    <w:p>
      <w:pPr>
        <w:pStyle w:val="22"/>
        <w:numPr>
          <w:ilvl w:val="0"/>
          <w:numId w:val="0"/>
        </w:numP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三、项目预算：49910元。</w:t>
      </w:r>
    </w:p>
    <w:p>
      <w:pPr>
        <w:pStyle w:val="3"/>
        <w:spacing w:line="240" w:lineRule="auto"/>
        <w:rPr>
          <w:rStyle w:val="69"/>
          <w:rFonts w:hint="eastAsia" w:ascii="宋体" w:hAnsi="宋体" w:eastAsia="宋体" w:cs="宋体"/>
          <w:b/>
          <w:color w:val="auto"/>
          <w:sz w:val="24"/>
          <w:szCs w:val="24"/>
        </w:rPr>
      </w:pPr>
      <w:bookmarkStart w:id="12" w:name="_Toc485108769"/>
      <w:bookmarkStart w:id="13" w:name="_Toc23857"/>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w:t>
      </w:r>
      <w:bookmarkEnd w:id="12"/>
      <w:r>
        <w:rPr>
          <w:rFonts w:hint="eastAsia" w:ascii="宋体" w:hAnsi="宋体" w:eastAsia="宋体" w:cs="宋体"/>
          <w:color w:val="auto"/>
          <w:sz w:val="24"/>
          <w:szCs w:val="24"/>
        </w:rPr>
        <w:t>供应商资格要求</w:t>
      </w:r>
      <w:bookmarkEnd w:id="13"/>
    </w:p>
    <w:p>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成交供应商是指向采购人提供</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（一）基本资格条件</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5.参加政府采购活动前三年内，在经营活动中没有重大违法记录；</w:t>
      </w:r>
    </w:p>
    <w:p>
      <w:pPr>
        <w:spacing w:line="4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（二）特定资格条件</w:t>
      </w:r>
      <w:bookmarkEnd w:id="4"/>
      <w:bookmarkEnd w:id="5"/>
      <w:bookmarkStart w:id="14" w:name="_Toc6"/>
      <w:bookmarkStart w:id="15" w:name="_Toc11958"/>
      <w:bookmarkStart w:id="16" w:name="_Toc485108774"/>
      <w:bookmarkStart w:id="17" w:name="_Toc102227313"/>
    </w:p>
    <w:p>
      <w:pPr>
        <w:pStyle w:val="22"/>
        <w:numPr>
          <w:ilvl w:val="0"/>
          <w:numId w:val="0"/>
        </w:numPr>
        <w:ind w:firstLine="482" w:firstLineChars="200"/>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1、有效的三证合一营业执照。</w:t>
      </w:r>
    </w:p>
    <w:p>
      <w:pPr>
        <w:pStyle w:val="3"/>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五、比选有关说明</w:t>
      </w:r>
      <w:bookmarkEnd w:id="14"/>
      <w:bookmarkEnd w:id="15"/>
      <w:r>
        <w:rPr>
          <w:rFonts w:hint="eastAsia" w:ascii="宋体" w:hAnsi="宋体" w:eastAsia="宋体" w:cs="宋体"/>
          <w:color w:val="auto"/>
          <w:sz w:val="24"/>
          <w:szCs w:val="24"/>
          <w:lang w:val="en-US" w:eastAsia="zh-CN"/>
        </w:rPr>
        <w:tab/>
      </w:r>
    </w:p>
    <w:p>
      <w:pPr>
        <w:pStyle w:val="22"/>
        <w:numPr>
          <w:ilvl w:val="0"/>
          <w:numId w:val="0"/>
        </w:num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（一）凡有意参加比选的供应商，请在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（二）比选公告期限：自采购公告发布之日</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20</w:t>
      </w:r>
      <w:r>
        <w:rPr>
          <w:rFonts w:hint="eastAsia" w:ascii="宋体" w:hAnsi="宋体" w:eastAsia="宋体" w:cs="宋体"/>
          <w:b/>
          <w:bCs/>
          <w:color w:val="auto"/>
          <w:sz w:val="24"/>
          <w:szCs w:val="24"/>
        </w:rPr>
        <w:t>日）</w:t>
      </w:r>
      <w:r>
        <w:rPr>
          <w:rFonts w:hint="eastAsia" w:ascii="宋体" w:hAnsi="宋体" w:eastAsia="宋体" w:cs="宋体"/>
          <w:color w:val="auto"/>
          <w:sz w:val="24"/>
          <w:szCs w:val="24"/>
        </w:rPr>
        <w:t>起</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个工作日。</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）凡有意参加的供应商，请于</w:t>
      </w:r>
      <w:r>
        <w:rPr>
          <w:rFonts w:hint="eastAsia" w:ascii="宋体" w:hAnsi="宋体" w:eastAsia="宋体" w:cs="宋体"/>
          <w:b/>
          <w:bCs/>
          <w:color w:val="auto"/>
          <w:sz w:val="24"/>
          <w:szCs w:val="24"/>
        </w:rPr>
        <w:t>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20</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0:00</w:t>
      </w:r>
      <w:r>
        <w:rPr>
          <w:rFonts w:hint="eastAsia" w:ascii="宋体" w:hAnsi="宋体" w:eastAsia="宋体" w:cs="宋体"/>
          <w:b/>
          <w:bCs/>
          <w:color w:val="auto"/>
          <w:sz w:val="24"/>
          <w:szCs w:val="24"/>
        </w:rPr>
        <w:t>时至202</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lang w:val="en-US" w:eastAsia="zh-CN"/>
        </w:rPr>
        <w:t>20</w:t>
      </w:r>
      <w:r>
        <w:rPr>
          <w:rFonts w:hint="eastAsia" w:ascii="宋体" w:hAnsi="宋体" w:eastAsia="宋体" w:cs="宋体"/>
          <w:b/>
          <w:bCs/>
          <w:color w:val="auto"/>
          <w:sz w:val="24"/>
          <w:szCs w:val="24"/>
        </w:rPr>
        <w:t>日</w:t>
      </w:r>
      <w:r>
        <w:rPr>
          <w:rFonts w:hint="eastAsia" w:ascii="宋体" w:hAnsi="宋体" w:eastAsia="宋体" w:cs="宋体"/>
          <w:b/>
          <w:bCs/>
          <w:color w:val="auto"/>
          <w:sz w:val="24"/>
          <w:szCs w:val="24"/>
          <w:lang w:val="en-US" w:eastAsia="zh-CN"/>
        </w:rPr>
        <w:t>24:00</w:t>
      </w:r>
      <w:r>
        <w:rPr>
          <w:rFonts w:hint="eastAsia" w:ascii="宋体" w:hAnsi="宋体" w:eastAsia="宋体" w:cs="宋体"/>
          <w:b/>
          <w:bCs/>
          <w:color w:val="auto"/>
          <w:sz w:val="24"/>
          <w:szCs w:val="24"/>
        </w:rPr>
        <w:t>时</w:t>
      </w:r>
      <w:r>
        <w:rPr>
          <w:rFonts w:hint="eastAsia" w:ascii="宋体" w:hAnsi="宋体" w:eastAsia="宋体" w:cs="宋体"/>
          <w:color w:val="auto"/>
          <w:sz w:val="24"/>
          <w:szCs w:val="24"/>
        </w:rPr>
        <w:t>（法定公休日、法定节假日除外）</w:t>
      </w:r>
      <w:r>
        <w:rPr>
          <w:rFonts w:hint="eastAsia" w:ascii="宋体" w:hAnsi="宋体" w:eastAsia="宋体" w:cs="宋体"/>
          <w:b/>
          <w:bCs/>
          <w:color w:val="auto"/>
          <w:sz w:val="24"/>
          <w:szCs w:val="24"/>
          <w:u w:val="single"/>
          <w:lang w:eastAsia="zh-CN"/>
        </w:rPr>
        <w:t>现场递交</w:t>
      </w:r>
      <w:r>
        <w:rPr>
          <w:rFonts w:hint="eastAsia" w:ascii="宋体" w:hAnsi="宋体" w:eastAsia="宋体" w:cs="宋体"/>
          <w:b w:val="0"/>
          <w:bCs w:val="0"/>
          <w:color w:val="auto"/>
          <w:sz w:val="24"/>
          <w:szCs w:val="24"/>
          <w:lang w:eastAsia="zh-CN"/>
        </w:rPr>
        <w:t>或</w:t>
      </w:r>
      <w:r>
        <w:rPr>
          <w:rFonts w:hint="eastAsia" w:ascii="宋体" w:hAnsi="宋体" w:eastAsia="宋体" w:cs="宋体"/>
          <w:b/>
          <w:bCs/>
          <w:color w:val="auto"/>
          <w:sz w:val="24"/>
          <w:szCs w:val="24"/>
          <w:u w:val="single"/>
        </w:rPr>
        <w:t>顺丰邮寄纸质版</w:t>
      </w:r>
      <w:r>
        <w:rPr>
          <w:rFonts w:hint="eastAsia" w:ascii="宋体" w:hAnsi="宋体" w:eastAsia="宋体" w:cs="宋体"/>
          <w:b/>
          <w:bCs/>
          <w:color w:val="auto"/>
          <w:sz w:val="24"/>
          <w:szCs w:val="24"/>
        </w:rPr>
        <w:t>资质文件报名。</w:t>
      </w:r>
    </w:p>
    <w:p>
      <w:pPr>
        <w:spacing w:line="400" w:lineRule="exact"/>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rPr>
        <w:t>报名方式：</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请务必将参与</w:t>
      </w:r>
      <w:r>
        <w:rPr>
          <w:rFonts w:hint="eastAsia" w:ascii="宋体" w:hAnsi="宋体" w:eastAsia="宋体" w:cs="宋体"/>
          <w:b/>
          <w:bCs/>
          <w:color w:val="auto"/>
          <w:sz w:val="24"/>
          <w:szCs w:val="24"/>
          <w:lang w:eastAsia="zh-CN"/>
        </w:rPr>
        <w:t>比选</w:t>
      </w:r>
      <w:r>
        <w:rPr>
          <w:rFonts w:hint="eastAsia" w:ascii="宋体" w:hAnsi="宋体" w:eastAsia="宋体" w:cs="宋体"/>
          <w:b/>
          <w:bCs/>
          <w:color w:val="auto"/>
          <w:sz w:val="24"/>
          <w:szCs w:val="24"/>
        </w:rPr>
        <w:t>的采购项目名称及采购项目编号、供应商名称、联系人名称及联系方式、电子邮箱地址</w:t>
      </w:r>
      <w:r>
        <w:rPr>
          <w:rFonts w:hint="eastAsia" w:ascii="宋体" w:hAnsi="宋体" w:eastAsia="宋体" w:cs="宋体"/>
          <w:b/>
          <w:bCs/>
          <w:color w:val="auto"/>
          <w:sz w:val="24"/>
          <w:szCs w:val="24"/>
          <w:lang w:eastAsia="zh-CN"/>
        </w:rPr>
        <w:t>以及法人授权文件</w:t>
      </w:r>
      <w:r>
        <w:rPr>
          <w:rFonts w:hint="eastAsia" w:ascii="宋体" w:hAnsi="宋体" w:eastAsia="宋体" w:cs="宋体"/>
          <w:b/>
          <w:bCs/>
          <w:color w:val="auto"/>
          <w:sz w:val="24"/>
          <w:szCs w:val="24"/>
        </w:rPr>
        <w:t>，供应商一般资质和特定资格要求等相关信息，盖鲜章后的清晰纸质版文件</w:t>
      </w:r>
      <w:r>
        <w:rPr>
          <w:rFonts w:hint="eastAsia" w:ascii="宋体" w:hAnsi="宋体" w:eastAsia="宋体" w:cs="宋体"/>
          <w:b/>
          <w:bCs/>
          <w:color w:val="auto"/>
          <w:sz w:val="24"/>
          <w:szCs w:val="24"/>
          <w:lang w:eastAsia="zh-CN"/>
        </w:rPr>
        <w:t>现场递交或者</w:t>
      </w:r>
      <w:r>
        <w:rPr>
          <w:rFonts w:hint="eastAsia" w:ascii="宋体" w:hAnsi="宋体" w:eastAsia="宋体" w:cs="宋体"/>
          <w:b/>
          <w:bCs/>
          <w:color w:val="auto"/>
          <w:sz w:val="24"/>
          <w:szCs w:val="24"/>
        </w:rPr>
        <w:t>通过</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rPr>
        <w:t>给采购办</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老师收(收件地址:</w:t>
      </w:r>
      <w:r>
        <w:rPr>
          <w:rFonts w:hint="eastAsia" w:ascii="宋体" w:hAnsi="宋体" w:eastAsia="宋体" w:cs="宋体"/>
          <w:b/>
          <w:bCs/>
          <w:color w:val="auto"/>
          <w:sz w:val="24"/>
          <w:szCs w:val="24"/>
          <w:u w:val="single"/>
        </w:rPr>
        <w:t>重庆市永川区萱花路439号采购办</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李</w:t>
      </w:r>
      <w:r>
        <w:rPr>
          <w:rFonts w:hint="eastAsia" w:ascii="宋体" w:hAnsi="宋体" w:eastAsia="宋体" w:cs="宋体"/>
          <w:b/>
          <w:bCs/>
          <w:color w:val="auto"/>
          <w:sz w:val="24"/>
          <w:szCs w:val="24"/>
        </w:rPr>
        <w:t>老师:023-85385105,请一定使用</w:t>
      </w:r>
      <w:r>
        <w:rPr>
          <w:rFonts w:hint="eastAsia" w:ascii="宋体" w:hAnsi="宋体" w:eastAsia="宋体" w:cs="宋体"/>
          <w:b/>
          <w:bCs/>
          <w:color w:val="auto"/>
          <w:sz w:val="24"/>
          <w:szCs w:val="24"/>
          <w:u w:val="single"/>
        </w:rPr>
        <w:t>顺丰邮寄</w:t>
      </w:r>
      <w:r>
        <w:rPr>
          <w:rFonts w:hint="eastAsia" w:ascii="宋体" w:hAnsi="宋体" w:eastAsia="宋体" w:cs="宋体"/>
          <w:b/>
          <w:bCs/>
          <w:color w:val="auto"/>
          <w:sz w:val="24"/>
          <w:szCs w:val="24"/>
          <w:u w:val="none"/>
          <w:lang w:eastAsia="zh-CN"/>
        </w:rPr>
        <w:t>，拒收</w:t>
      </w:r>
      <w:r>
        <w:rPr>
          <w:rFonts w:hint="eastAsia" w:ascii="宋体" w:hAnsi="宋体" w:eastAsia="宋体" w:cs="宋体"/>
          <w:b/>
          <w:bCs/>
          <w:color w:val="auto"/>
          <w:sz w:val="24"/>
          <w:szCs w:val="24"/>
          <w:u w:val="single"/>
          <w:lang w:eastAsia="zh-CN"/>
        </w:rPr>
        <w:t>到付</w:t>
      </w:r>
      <w:r>
        <w:rPr>
          <w:rFonts w:hint="eastAsia" w:ascii="宋体" w:hAnsi="宋体" w:eastAsia="宋体" w:cs="宋体"/>
          <w:b/>
          <w:bCs/>
          <w:color w:val="auto"/>
          <w:sz w:val="24"/>
          <w:szCs w:val="24"/>
          <w:u w:val="none"/>
          <w:lang w:eastAsia="zh-CN"/>
        </w:rPr>
        <w:t>邮件</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w:t>
      </w:r>
      <w:r>
        <w:rPr>
          <w:rFonts w:hint="eastAsia" w:ascii="宋体" w:hAnsi="宋体" w:eastAsia="宋体" w:cs="宋体"/>
          <w:b/>
          <w:bCs/>
          <w:color w:val="auto"/>
          <w:sz w:val="24"/>
          <w:szCs w:val="24"/>
        </w:rPr>
        <w:fldChar w:fldCharType="end"/>
      </w:r>
      <w:r>
        <w:rPr>
          <w:rFonts w:hint="eastAsia" w:ascii="宋体" w:hAnsi="宋体" w:eastAsia="宋体" w:cs="宋体"/>
          <w:color w:val="auto"/>
          <w:sz w:val="24"/>
          <w:szCs w:val="24"/>
        </w:rPr>
        <w:t>报名的单位名称必须与响应人名称相同，只有按上述规定报名后，才具备响应资格</w:t>
      </w:r>
      <w:r>
        <w:rPr>
          <w:rFonts w:hint="eastAsia" w:ascii="宋体" w:hAnsi="宋体" w:eastAsia="宋体" w:cs="宋体"/>
          <w:color w:val="auto"/>
          <w:sz w:val="28"/>
          <w:szCs w:val="28"/>
        </w:rPr>
        <w:t>。</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（四）供应商须满足以下二种要件，其响应文件才被接受：</w:t>
      </w:r>
    </w:p>
    <w:p>
      <w:pPr>
        <w:spacing w:line="400" w:lineRule="exact"/>
        <w:ind w:left="10" w:leftChars="5"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、按时</w:t>
      </w:r>
      <w:r>
        <w:rPr>
          <w:rFonts w:hint="eastAsia" w:ascii="宋体" w:hAnsi="宋体" w:eastAsia="宋体" w:cs="宋体"/>
          <w:color w:val="auto"/>
          <w:sz w:val="24"/>
          <w:szCs w:val="24"/>
          <w:lang w:eastAsia="zh-CN"/>
        </w:rPr>
        <w:t>递交纸质版报名资料</w:t>
      </w:r>
      <w:r>
        <w:rPr>
          <w:rFonts w:hint="eastAsia" w:ascii="宋体" w:hAnsi="宋体" w:eastAsia="宋体" w:cs="宋体"/>
          <w:color w:val="auto"/>
          <w:sz w:val="24"/>
          <w:szCs w:val="24"/>
        </w:rPr>
        <w:t>（重庆医科大学附属永川医院</w:t>
      </w:r>
      <w:r>
        <w:rPr>
          <w:rFonts w:hint="eastAsia" w:ascii="宋体" w:hAnsi="宋体" w:eastAsia="宋体" w:cs="宋体"/>
          <w:color w:val="auto"/>
          <w:sz w:val="24"/>
          <w:szCs w:val="24"/>
          <w:lang w:eastAsia="zh-CN"/>
        </w:rPr>
        <w:t>采购办公室</w:t>
      </w:r>
      <w:r>
        <w:rPr>
          <w:rFonts w:hint="eastAsia" w:ascii="宋体" w:hAnsi="宋体" w:eastAsia="宋体" w:cs="宋体"/>
          <w:color w:val="auto"/>
          <w:sz w:val="24"/>
          <w:szCs w:val="24"/>
        </w:rPr>
        <w:t>）。</w:t>
      </w:r>
    </w:p>
    <w:p>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、按时递交了响应文件（重庆医科大学附属永川医院</w:t>
      </w:r>
      <w:r>
        <w:rPr>
          <w:rFonts w:hint="eastAsia" w:ascii="宋体" w:hAnsi="宋体" w:eastAsia="宋体" w:cs="宋体"/>
          <w:color w:val="auto"/>
          <w:sz w:val="24"/>
          <w:szCs w:val="24"/>
          <w:lang w:eastAsia="zh-CN"/>
        </w:rPr>
        <w:t>综合楼四楼会议室</w:t>
      </w:r>
      <w:r>
        <w:rPr>
          <w:rFonts w:hint="eastAsia" w:ascii="宋体" w:hAnsi="宋体" w:eastAsia="宋体" w:cs="宋体"/>
          <w:color w:val="auto"/>
          <w:sz w:val="24"/>
          <w:szCs w:val="24"/>
        </w:rPr>
        <w:t>）；</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（五）比选地点：重庆医科大学附属永川医院综合楼</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楼会议室（地址：重庆市永川区萱花路439号）</w:t>
      </w:r>
    </w:p>
    <w:p>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（六）响应文件递交开始时间：</w:t>
      </w:r>
      <w:r>
        <w:rPr>
          <w:rFonts w:hint="eastAsia" w:ascii="宋体" w:hAnsi="宋体" w:eastAsia="宋体" w:cs="宋体"/>
          <w:color w:val="auto"/>
          <w:sz w:val="24"/>
          <w:szCs w:val="24"/>
          <w:lang w:eastAsia="zh-CN"/>
        </w:rPr>
        <w:t>待定。见官网通知</w:t>
      </w:r>
    </w:p>
    <w:p>
      <w:pPr>
        <w:ind w:firstLine="480" w:firstLineChars="200"/>
        <w:rPr>
          <w:rFonts w:hint="eastAsia" w:ascii="宋体" w:hAnsi="宋体" w:eastAsia="宋体" w:cs="宋体"/>
          <w:color w:val="auto"/>
          <w:sz w:val="24"/>
          <w:szCs w:val="24"/>
          <w:lang w:eastAsia="zh-CN"/>
        </w:rPr>
      </w:pPr>
      <w:bookmarkStart w:id="18" w:name="_Toc26538"/>
      <w:r>
        <w:rPr>
          <w:rFonts w:hint="eastAsia" w:ascii="宋体" w:hAnsi="宋体" w:eastAsia="宋体" w:cs="宋体"/>
          <w:color w:val="auto"/>
          <w:sz w:val="24"/>
          <w:szCs w:val="24"/>
        </w:rPr>
        <w:t>（七）响应文件递交截止时间：</w:t>
      </w:r>
      <w:bookmarkEnd w:id="18"/>
      <w:r>
        <w:rPr>
          <w:rFonts w:hint="eastAsia" w:ascii="宋体" w:hAnsi="宋体" w:eastAsia="宋体" w:cs="宋体"/>
          <w:color w:val="auto"/>
          <w:sz w:val="24"/>
          <w:szCs w:val="24"/>
          <w:lang w:eastAsia="zh-CN"/>
        </w:rPr>
        <w:t>待定。见官网通知</w:t>
      </w:r>
    </w:p>
    <w:p>
      <w:pPr>
        <w:ind w:firstLine="480" w:firstLineChars="200"/>
        <w:rPr>
          <w:rFonts w:hint="eastAsia" w:ascii="宋体" w:hAnsi="宋体" w:eastAsia="宋体" w:cs="宋体"/>
          <w:color w:val="auto"/>
          <w:sz w:val="24"/>
          <w:szCs w:val="24"/>
          <w:lang w:eastAsia="zh-CN"/>
        </w:rPr>
      </w:pPr>
      <w:bookmarkStart w:id="19" w:name="_Toc7033"/>
      <w:r>
        <w:rPr>
          <w:rFonts w:hint="eastAsia" w:ascii="宋体" w:hAnsi="宋体" w:eastAsia="宋体" w:cs="宋体"/>
          <w:color w:val="auto"/>
          <w:sz w:val="24"/>
          <w:szCs w:val="24"/>
        </w:rPr>
        <w:t>（八）比选开始时间：</w:t>
      </w:r>
      <w:bookmarkEnd w:id="19"/>
      <w:r>
        <w:rPr>
          <w:rFonts w:hint="eastAsia" w:ascii="宋体" w:hAnsi="宋体" w:eastAsia="宋体" w:cs="宋体"/>
          <w:color w:val="auto"/>
          <w:sz w:val="24"/>
          <w:szCs w:val="24"/>
          <w:lang w:eastAsia="zh-CN"/>
        </w:rPr>
        <w:t>待定。</w:t>
      </w:r>
    </w:p>
    <w:p>
      <w:pPr>
        <w:pStyle w:val="3"/>
        <w:bidi w:val="0"/>
        <w:rPr>
          <w:rFonts w:hint="eastAsia" w:ascii="宋体" w:hAnsi="宋体" w:eastAsia="宋体" w:cs="宋体"/>
          <w:color w:val="auto"/>
          <w:sz w:val="24"/>
          <w:szCs w:val="24"/>
          <w:lang w:val="en-US" w:eastAsia="zh-CN"/>
        </w:rPr>
      </w:pPr>
      <w:bookmarkStart w:id="20" w:name="_Toc29866"/>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、本项目无需购买比选文件</w:t>
      </w:r>
      <w:bookmarkEnd w:id="20"/>
      <w:bookmarkStart w:id="21" w:name="_Toc54171062"/>
      <w:bookmarkStart w:id="22" w:name="_Toc373860294"/>
      <w:bookmarkStart w:id="23" w:name="_Toc54718176"/>
    </w:p>
    <w:bookmarkEnd w:id="21"/>
    <w:bookmarkEnd w:id="22"/>
    <w:bookmarkEnd w:id="23"/>
    <w:p>
      <w:pPr>
        <w:pStyle w:val="3"/>
        <w:bidi w:val="0"/>
        <w:rPr>
          <w:rFonts w:hint="eastAsia" w:ascii="宋体" w:hAnsi="宋体" w:eastAsia="宋体" w:cs="宋体"/>
          <w:color w:val="auto"/>
          <w:sz w:val="24"/>
          <w:szCs w:val="24"/>
        </w:rPr>
      </w:pPr>
      <w:bookmarkStart w:id="24" w:name="_Toc2806"/>
      <w:bookmarkStart w:id="25" w:name="_Toc1625"/>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、其它有关规定</w:t>
      </w:r>
      <w:bookmarkEnd w:id="24"/>
      <w:bookmarkEnd w:id="25"/>
    </w:p>
    <w:p>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（一）单位负责人为同一人或者存在直接控股、管理关系的不同供应商，不得参加同一合同项（分包）下的政府采购活动，否则均为无效比选。</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（二）为采购项目提供整体设计、规范编制或者项目管理、监理、检测等服务的供应商，不得再参加该采购项目的其他采购活动。</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采购中， 同一品牌同一型号产品有多家供应商参加比选，只能按照一家供应商计算。</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（四）同一合同项（分包）下的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，制造商参与比选的，不得再委托代理商参与比选。</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（五）本项目在响应文件提交截止时间前发布的比选文件及补遗文件（如果有）一律在</w:t>
      </w:r>
      <w:r>
        <w:rPr>
          <w:rFonts w:hint="eastAsia" w:ascii="宋体" w:hAnsi="宋体" w:eastAsia="宋体" w:cs="宋体"/>
          <w:color w:val="auto"/>
          <w:sz w:val="24"/>
          <w:szCs w:val="24"/>
          <w:lang w:eastAsia="zh-CN"/>
        </w:rPr>
        <w:t>重庆医科大学附属永川医院</w:t>
      </w:r>
      <w:r>
        <w:rPr>
          <w:rFonts w:hint="eastAsia" w:ascii="宋体" w:hAnsi="宋体" w:eastAsia="宋体" w:cs="宋体"/>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（六）未</w:t>
      </w:r>
      <w:r>
        <w:rPr>
          <w:rFonts w:hint="eastAsia" w:ascii="宋体" w:hAnsi="宋体" w:eastAsia="宋体" w:cs="宋体"/>
          <w:color w:val="auto"/>
          <w:sz w:val="24"/>
          <w:szCs w:val="24"/>
          <w:lang w:val="en-US" w:eastAsia="zh-CN"/>
        </w:rPr>
        <w:t>按时</w:t>
      </w:r>
      <w:r>
        <w:rPr>
          <w:rFonts w:hint="eastAsia" w:ascii="宋体" w:hAnsi="宋体" w:eastAsia="宋体" w:cs="宋体"/>
          <w:color w:val="auto"/>
          <w:sz w:val="24"/>
          <w:szCs w:val="24"/>
        </w:rPr>
        <w:t>报名的，其响应文件恕不接收，超过响应文件截止时间递交的响应文件，恕不接收。</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（七）比选费用：无论比选结果如何，供应商参与本项目比选的所有费用均应由供应商自行承担。</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（八）本项目不接受联合体参与比选或不接受合同分包、转包。</w:t>
      </w:r>
    </w:p>
    <w:p>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宋体" w:hAnsi="宋体" w:eastAsia="宋体" w:cs="宋体"/>
          <w:color w:val="auto"/>
          <w:sz w:val="24"/>
          <w:szCs w:val="24"/>
        </w:rPr>
      </w:pPr>
      <w:bookmarkStart w:id="26" w:name="_Toc31390"/>
      <w:bookmarkStart w:id="27" w:name="_Toc9130"/>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、联系方式</w:t>
      </w:r>
      <w:bookmarkEnd w:id="26"/>
      <w:bookmarkEnd w:id="27"/>
    </w:p>
    <w:bookmarkEnd w:id="16"/>
    <w:bookmarkEnd w:id="17"/>
    <w:p>
      <w:pPr>
        <w:ind w:firstLine="480" w:firstLineChars="200"/>
        <w:jc w:val="left"/>
        <w:rPr>
          <w:rFonts w:hint="eastAsia" w:ascii="宋体" w:hAnsi="宋体" w:eastAsia="宋体" w:cs="宋体"/>
          <w:color w:val="auto"/>
          <w:sz w:val="24"/>
          <w:szCs w:val="24"/>
        </w:rPr>
      </w:pPr>
      <w:bookmarkStart w:id="28" w:name="_Toc31093"/>
      <w:r>
        <w:rPr>
          <w:rFonts w:hint="eastAsia" w:ascii="宋体" w:hAnsi="宋体" w:eastAsia="宋体" w:cs="宋体"/>
          <w:color w:val="auto"/>
          <w:sz w:val="24"/>
          <w:szCs w:val="24"/>
        </w:rPr>
        <w:t>采购人：重庆医科大学附属永川医院</w:t>
      </w:r>
    </w:p>
    <w:p>
      <w:pPr>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eastAsia="zh-CN"/>
        </w:rPr>
        <w:t>李老师</w:t>
      </w:r>
    </w:p>
    <w:p>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电  话：（023）85385105  </w:t>
      </w:r>
    </w:p>
    <w:p>
      <w:pPr>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地  址： 重庆市永川区萱花路439号</w:t>
      </w:r>
    </w:p>
    <w:p>
      <w:pPr>
        <w:ind w:firstLine="720" w:firstLineChars="200"/>
        <w:jc w:val="left"/>
        <w:rPr>
          <w:rFonts w:hint="eastAsia" w:ascii="宋体" w:hAnsi="宋体" w:eastAsia="宋体" w:cs="宋体"/>
          <w:color w:val="auto"/>
          <w:sz w:val="36"/>
          <w:szCs w:val="30"/>
        </w:rPr>
      </w:pPr>
    </w:p>
    <w:p>
      <w:pPr>
        <w:ind w:firstLine="720" w:firstLineChars="200"/>
        <w:jc w:val="left"/>
        <w:rPr>
          <w:rFonts w:hint="eastAsia" w:ascii="宋体" w:hAnsi="宋体" w:eastAsia="宋体" w:cs="宋体"/>
          <w:color w:val="auto"/>
          <w:sz w:val="36"/>
          <w:szCs w:val="30"/>
        </w:rPr>
      </w:pPr>
    </w:p>
    <w:bookmarkEnd w:id="28"/>
    <w:p>
      <w:pPr>
        <w:rPr>
          <w:rFonts w:hint="eastAsia" w:ascii="宋体" w:hAnsi="宋体" w:eastAsia="宋体" w:cs="宋体"/>
          <w:color w:val="auto"/>
        </w:rPr>
      </w:pPr>
    </w:p>
    <w:p>
      <w:pPr>
        <w:rPr>
          <w:rFonts w:hint="eastAsia" w:ascii="宋体" w:hAnsi="宋体" w:eastAsia="宋体" w:cs="宋体"/>
          <w:color w:val="auto"/>
        </w:rPr>
      </w:pPr>
    </w:p>
    <w:p>
      <w:pPr>
        <w:pStyle w:val="2"/>
        <w:bidi w:val="0"/>
        <w:jc w:val="center"/>
        <w:rPr>
          <w:rFonts w:hint="eastAsia" w:ascii="宋体" w:hAnsi="宋体" w:eastAsia="宋体" w:cs="宋体"/>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pPr>
        <w:pStyle w:val="2"/>
        <w:bidi w:val="0"/>
        <w:jc w:val="center"/>
        <w:rPr>
          <w:rFonts w:hint="eastAsia" w:ascii="宋体" w:hAnsi="宋体" w:eastAsia="宋体" w:cs="宋体"/>
          <w:b/>
          <w:color w:val="auto"/>
        </w:rPr>
      </w:pPr>
      <w:r>
        <w:rPr>
          <w:rFonts w:hint="eastAsia" w:ascii="宋体" w:hAnsi="宋体" w:eastAsia="宋体" w:cs="宋体"/>
          <w:b/>
          <w:bCs/>
          <w:color w:val="auto"/>
          <w:sz w:val="36"/>
          <w:szCs w:val="36"/>
        </w:rPr>
        <w:t>第二篇 供应商须知</w:t>
      </w:r>
      <w:bookmarkEnd w:id="29"/>
    </w:p>
    <w:p>
      <w:pPr>
        <w:pStyle w:val="3"/>
        <w:bidi w:val="0"/>
        <w:rPr>
          <w:rFonts w:hint="eastAsia" w:ascii="宋体" w:hAnsi="宋体" w:eastAsia="宋体" w:cs="宋体"/>
          <w:color w:val="auto"/>
          <w:sz w:val="24"/>
          <w:szCs w:val="24"/>
        </w:rPr>
      </w:pPr>
      <w:bookmarkStart w:id="30" w:name="_Toc11386"/>
      <w:r>
        <w:rPr>
          <w:rFonts w:hint="eastAsia" w:ascii="宋体" w:hAnsi="宋体" w:eastAsia="宋体" w:cs="宋体"/>
          <w:color w:val="auto"/>
          <w:sz w:val="24"/>
          <w:szCs w:val="24"/>
        </w:rPr>
        <w:t>一、比选费用</w:t>
      </w:r>
      <w:bookmarkEnd w:id="30"/>
    </w:p>
    <w:p>
      <w:pPr>
        <w:spacing w:line="400" w:lineRule="exact"/>
        <w:rPr>
          <w:rFonts w:hint="eastAsia" w:ascii="宋体" w:hAnsi="宋体" w:eastAsia="宋体" w:cs="宋体"/>
          <w:color w:val="auto"/>
          <w:sz w:val="24"/>
          <w:szCs w:val="24"/>
        </w:rPr>
      </w:pPr>
      <w:r>
        <w:rPr>
          <w:rFonts w:hint="eastAsia" w:ascii="宋体" w:hAnsi="宋体" w:eastAsia="宋体" w:cs="宋体"/>
          <w:color w:val="auto"/>
          <w:sz w:val="24"/>
          <w:szCs w:val="24"/>
        </w:rPr>
        <w:t>参与比选的供应商应承担其编制响应文件与递交响应文件所涉及的一切费用，不论比选结果如何，医院在任何情况下无义务也无责任承担这些费用。</w:t>
      </w:r>
    </w:p>
    <w:p>
      <w:pPr>
        <w:pStyle w:val="3"/>
        <w:spacing w:line="240" w:lineRule="auto"/>
        <w:rPr>
          <w:rFonts w:hint="eastAsia" w:ascii="宋体" w:hAnsi="宋体" w:eastAsia="宋体" w:cs="宋体"/>
          <w:color w:val="auto"/>
        </w:rPr>
      </w:pPr>
      <w:bookmarkStart w:id="31" w:name="_Toc8430"/>
      <w:r>
        <w:rPr>
          <w:rFonts w:hint="eastAsia" w:ascii="宋体" w:hAnsi="宋体" w:eastAsia="宋体" w:cs="宋体"/>
          <w:color w:val="auto"/>
          <w:sz w:val="24"/>
          <w:szCs w:val="24"/>
        </w:rPr>
        <w:t>二、比选文件</w:t>
      </w:r>
      <w:bookmarkEnd w:id="31"/>
      <w:r>
        <w:rPr>
          <w:rFonts w:hint="eastAsia" w:ascii="宋体" w:hAnsi="宋体" w:eastAsia="宋体" w:cs="宋体"/>
          <w:color w:val="auto"/>
        </w:rPr>
        <w:tab/>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（二）医院所作的一切有效的修改及补充，都是比选文件不可分割的部分。</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（三）比选文件的解释</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宋体" w:hAnsi="宋体" w:eastAsia="宋体" w:cs="宋体"/>
          <w:color w:val="auto"/>
          <w:sz w:val="24"/>
          <w:szCs w:val="24"/>
        </w:rPr>
      </w:pPr>
      <w:bookmarkStart w:id="32" w:name="_Toc23254"/>
      <w:r>
        <w:rPr>
          <w:rFonts w:hint="eastAsia" w:ascii="宋体" w:hAnsi="宋体" w:eastAsia="宋体" w:cs="宋体"/>
          <w:color w:val="auto"/>
          <w:sz w:val="24"/>
          <w:szCs w:val="24"/>
        </w:rPr>
        <w:t>三、比选要求</w:t>
      </w:r>
      <w:bookmarkEnd w:id="32"/>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（一）响应文件</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rPr>
        <w:t>同时应编制完整的页码、目录。</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1、响应文件组成</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2、本项目不接受联合体参与及合同分包、转包。</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3、比选有效期：响应文件及有关承诺文件有效期为比选开始时间起90天。</w:t>
      </w:r>
    </w:p>
    <w:p>
      <w:pPr>
        <w:spacing w:line="4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（二）报价要求</w:t>
      </w:r>
    </w:p>
    <w:p>
      <w:pPr>
        <w:pStyle w:val="4"/>
        <w:keepNext w:val="0"/>
        <w:keepLines w:val="0"/>
        <w:spacing w:before="0" w:after="0" w:line="520" w:lineRule="exact"/>
        <w:ind w:firstLine="482" w:firstLineChars="200"/>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投标报价均为包干价，包含但不限于租赁费、运输费、安装费、调试费、保险费等各项费用</w:t>
      </w:r>
      <w:r>
        <w:rPr>
          <w:rFonts w:hint="eastAsia" w:ascii="宋体" w:hAnsi="宋体" w:cs="宋体"/>
          <w:b/>
          <w:bCs/>
          <w:color w:val="FF0000"/>
          <w:sz w:val="24"/>
          <w:szCs w:val="24"/>
          <w:lang w:val="en-US" w:eastAsia="zh-CN"/>
        </w:rPr>
        <w:t>，</w:t>
      </w:r>
      <w:r>
        <w:rPr>
          <w:rFonts w:hint="eastAsia" w:ascii="宋体" w:hAnsi="宋体" w:eastAsia="宋体" w:cs="宋体"/>
          <w:b/>
          <w:bCs/>
          <w:color w:val="FF0000"/>
          <w:sz w:val="24"/>
          <w:szCs w:val="24"/>
          <w:lang w:val="en-US" w:eastAsia="zh-CN"/>
        </w:rPr>
        <w:t>投标按照报价表进行报价（见第六章）。</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（四）提交响应文件的份数和签署</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1.响应文件一式</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2.</w:t>
      </w:r>
      <w:r>
        <w:rPr>
          <w:rFonts w:hint="eastAsia" w:ascii="宋体" w:hAnsi="宋体" w:eastAsia="宋体" w:cs="宋体"/>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hint="eastAsia" w:ascii="宋体" w:hAnsi="宋体" w:eastAsia="宋体" w:cs="宋体"/>
          <w:strike/>
          <w:color w:val="auto"/>
          <w:sz w:val="24"/>
          <w:szCs w:val="24"/>
        </w:rPr>
      </w:pPr>
      <w:r>
        <w:rPr>
          <w:rFonts w:hint="eastAsia" w:ascii="宋体" w:hAnsi="宋体" w:eastAsia="宋体" w:cs="宋体"/>
          <w:color w:val="auto"/>
          <w:sz w:val="24"/>
          <w:szCs w:val="24"/>
        </w:rPr>
        <w:t>4.电报、电话、传真形式的响应文件概不接受。</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（五）响应文件的递交</w:t>
      </w:r>
    </w:p>
    <w:p>
      <w:pPr>
        <w:snapToGrid w:val="0"/>
        <w:spacing w:line="400" w:lineRule="exact"/>
        <w:ind w:firstLine="480" w:firstLineChars="200"/>
        <w:rPr>
          <w:rFonts w:hint="eastAsia" w:ascii="宋体" w:hAnsi="宋体" w:eastAsia="宋体" w:cs="宋体"/>
          <w:color w:val="auto"/>
          <w:sz w:val="24"/>
          <w:szCs w:val="24"/>
        </w:rPr>
      </w:pPr>
      <w:bookmarkStart w:id="33" w:name="OLE_LINK9"/>
      <w:bookmarkStart w:id="34" w:name="OLE_LINK8"/>
      <w:bookmarkStart w:id="35" w:name="OLE_LINK3"/>
      <w:r>
        <w:rPr>
          <w:rFonts w:hint="eastAsia" w:ascii="宋体" w:hAnsi="宋体" w:eastAsia="宋体" w:cs="宋体"/>
          <w:color w:val="auto"/>
          <w:sz w:val="24"/>
          <w:szCs w:val="24"/>
        </w:rPr>
        <w:t>1.响应文件的密封与标记</w:t>
      </w:r>
    </w:p>
    <w:p>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2.响应文件投递截止时间：参阅比选邀请书。</w:t>
      </w:r>
    </w:p>
    <w:p>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3.如果未按上述规定进行密封和标记，医院对响应文件误投、丢失或提前拆封不负责任。</w:t>
      </w:r>
    </w:p>
    <w:p>
      <w:pPr>
        <w:spacing w:line="4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（六）响应文件语言：简体中文</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（七）供应商参与人员</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各个供应商可派1-2名代表参与比选，至少1人应为法定代表人或具有法定代表人授权委托书的授权代表。</w:t>
      </w:r>
      <w:r>
        <w:rPr>
          <w:rFonts w:hint="eastAsia" w:ascii="宋体" w:hAnsi="宋体" w:eastAsia="宋体" w:cs="宋体"/>
          <w:b/>
          <w:bCs/>
          <w:color w:val="auto"/>
          <w:sz w:val="24"/>
        </w:rPr>
        <w:t>法定代表人或授权代表应随身携带本人身份证原件。</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（八）无效比选</w:t>
      </w:r>
    </w:p>
    <w:bookmarkEnd w:id="33"/>
    <w:bookmarkEnd w:id="34"/>
    <w:bookmarkEnd w:id="35"/>
    <w:p>
      <w:pPr>
        <w:snapToGrid w:val="0"/>
        <w:spacing w:line="400" w:lineRule="exact"/>
        <w:ind w:firstLine="480" w:firstLineChars="200"/>
        <w:rPr>
          <w:rFonts w:hint="eastAsia" w:ascii="宋体" w:hAnsi="宋体" w:eastAsia="宋体" w:cs="宋体"/>
          <w:color w:val="auto"/>
          <w:sz w:val="24"/>
          <w:szCs w:val="24"/>
        </w:rPr>
      </w:pPr>
      <w:bookmarkStart w:id="36" w:name="_Toc19143"/>
      <w:bookmarkStart w:id="37" w:name="_Toc18122"/>
      <w:bookmarkStart w:id="38" w:name="_Toc403569780"/>
      <w:bookmarkStart w:id="39" w:name="_Toc342913393"/>
      <w:bookmarkStart w:id="40" w:name="_Toc179714298"/>
      <w:bookmarkStart w:id="41" w:name="_Toc102227319"/>
      <w:r>
        <w:rPr>
          <w:rFonts w:hint="eastAsia" w:ascii="宋体" w:hAnsi="宋体" w:eastAsia="宋体" w:cs="宋体"/>
          <w:color w:val="auto"/>
          <w:sz w:val="24"/>
          <w:szCs w:val="24"/>
        </w:rPr>
        <w:t>供应商发生以下条款情况之一者，视为无效比选：</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供应商不符合规定的资格条件的；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供应商的法定代表人（或其授权代表）或自然人未参加比选的；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供应商所提交的响应文件未按比选文件要求签署或盖章的；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响应文件含有使用科室不能接受的附加条件的；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同一合同项（包）下的货物，制造商参与比选，再委托代理商参与比选的；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供应商以联合体形式参与比选的；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供应商进行合同分包的；</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供应商响应文件内容有与国家现行法律法规相违背的内容，或附有医院无法接受条件的。</w:t>
      </w:r>
    </w:p>
    <w:p>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四、比选程序</w:t>
      </w:r>
      <w:bookmarkEnd w:id="36"/>
      <w:bookmarkEnd w:id="37"/>
      <w:bookmarkEnd w:id="38"/>
      <w:bookmarkEnd w:id="39"/>
      <w:bookmarkEnd w:id="40"/>
      <w:bookmarkEnd w:id="41"/>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（一）比选按比选文件规定的时间和地点进行。供应商须有法定代表人或其授权代表参加并签到。</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885" w:type="dxa"/>
            <w:gridSpan w:val="2"/>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检查因素</w:t>
            </w:r>
          </w:p>
        </w:tc>
        <w:tc>
          <w:tcPr>
            <w:tcW w:w="4948" w:type="dxa"/>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w:t>
            </w:r>
          </w:p>
        </w:tc>
        <w:tc>
          <w:tcPr>
            <w:tcW w:w="1060" w:type="dxa"/>
            <w:vMerge w:val="restart"/>
            <w:vAlign w:val="center"/>
          </w:tcPr>
          <w:p>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响应人应符合的基本资格条件</w:t>
            </w:r>
          </w:p>
        </w:tc>
        <w:tc>
          <w:tcPr>
            <w:tcW w:w="2825" w:type="dxa"/>
            <w:vAlign w:val="center"/>
          </w:tcPr>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（1）具有独立承担民事责任的能力</w:t>
            </w:r>
          </w:p>
        </w:tc>
        <w:tc>
          <w:tcPr>
            <w:tcW w:w="4948" w:type="dxa"/>
            <w:vAlign w:val="center"/>
          </w:tcPr>
          <w:p>
            <w:pPr>
              <w:snapToGrid w:val="0"/>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lang w:val="zh-CN"/>
              </w:rPr>
              <w:t>（2）</w:t>
            </w:r>
            <w:r>
              <w:rPr>
                <w:rFonts w:hint="eastAsia" w:ascii="宋体" w:hAnsi="宋体" w:eastAsia="宋体" w:cs="宋体"/>
                <w:color w:val="auto"/>
                <w:szCs w:val="21"/>
              </w:rPr>
              <w:t>具有良好的商业信誉和健全的财务会计制度</w:t>
            </w:r>
          </w:p>
        </w:tc>
        <w:tc>
          <w:tcPr>
            <w:tcW w:w="4948" w:type="dxa"/>
            <w:vAlign w:val="center"/>
          </w:tcPr>
          <w:p>
            <w:pPr>
              <w:jc w:val="left"/>
              <w:rPr>
                <w:rFonts w:hint="eastAsia" w:ascii="宋体" w:hAnsi="宋体" w:eastAsia="宋体" w:cs="宋体"/>
                <w:color w:val="auto"/>
                <w:szCs w:val="21"/>
              </w:rPr>
            </w:pPr>
            <w:r>
              <w:rPr>
                <w:rFonts w:hint="eastAsia" w:ascii="宋体" w:hAnsi="宋体" w:eastAsia="宋体" w:cs="宋体"/>
                <w:color w:val="auto"/>
                <w:szCs w:val="21"/>
              </w:rPr>
              <w:t>1.供应商提供202</w:t>
            </w:r>
            <w:r>
              <w:rPr>
                <w:rFonts w:hint="eastAsia" w:ascii="宋体" w:hAnsi="宋体" w:eastAsia="宋体" w:cs="宋体"/>
                <w:color w:val="auto"/>
                <w:szCs w:val="21"/>
                <w:lang w:val="en-US" w:eastAsia="zh-CN"/>
              </w:rPr>
              <w:t>1</w:t>
            </w:r>
            <w:r>
              <w:rPr>
                <w:rFonts w:hint="eastAsia" w:ascii="宋体" w:hAnsi="宋体" w:eastAsia="宋体" w:cs="宋体"/>
                <w:color w:val="auto"/>
                <w:szCs w:val="21"/>
              </w:rPr>
              <w:t>或202</w:t>
            </w:r>
            <w:r>
              <w:rPr>
                <w:rFonts w:hint="eastAsia" w:ascii="宋体" w:hAnsi="宋体" w:eastAsia="宋体" w:cs="宋体"/>
                <w:color w:val="auto"/>
                <w:szCs w:val="21"/>
                <w:lang w:val="en-US" w:eastAsia="zh-CN"/>
              </w:rPr>
              <w:t>2</w:t>
            </w:r>
            <w:r>
              <w:rPr>
                <w:rFonts w:hint="eastAsia" w:ascii="宋体" w:hAnsi="宋体" w:eastAsia="宋体" w:cs="宋体"/>
                <w:color w:val="auto"/>
                <w:szCs w:val="21"/>
              </w:rPr>
              <w:t>年度财务状况报告（表）或其基本开户银行出具的资信证明（提供复印件）。</w:t>
            </w:r>
          </w:p>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（3）具有履行合同所必需的设备和专业技术能力</w:t>
            </w:r>
          </w:p>
        </w:tc>
        <w:tc>
          <w:tcPr>
            <w:tcW w:w="4948" w:type="dxa"/>
            <w:vAlign w:val="center"/>
          </w:tcPr>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lang w:val="zh-CN"/>
              </w:rPr>
              <w:t>（4）有依法缴纳税收和社会保障金的良好记录</w:t>
            </w:r>
          </w:p>
        </w:tc>
        <w:tc>
          <w:tcPr>
            <w:tcW w:w="4948" w:type="dxa"/>
            <w:vAlign w:val="center"/>
          </w:tcPr>
          <w:p>
            <w:pPr>
              <w:jc w:val="left"/>
              <w:rPr>
                <w:rFonts w:hint="eastAsia" w:ascii="宋体" w:hAnsi="宋体" w:eastAsia="宋体" w:cs="宋体"/>
                <w:color w:val="auto"/>
                <w:szCs w:val="21"/>
              </w:rPr>
            </w:pPr>
            <w:r>
              <w:rPr>
                <w:rFonts w:hint="eastAsia" w:ascii="宋体" w:hAnsi="宋体" w:eastAsia="宋体" w:cs="宋体"/>
                <w:color w:val="auto"/>
                <w:szCs w:val="21"/>
              </w:rPr>
              <w:t>1.税务登记证（副本）（提供复印件）。</w:t>
            </w:r>
          </w:p>
          <w:p>
            <w:pPr>
              <w:jc w:val="left"/>
              <w:rPr>
                <w:rFonts w:hint="eastAsia" w:ascii="宋体" w:hAnsi="宋体" w:eastAsia="宋体" w:cs="宋体"/>
                <w:color w:val="auto"/>
                <w:szCs w:val="21"/>
              </w:rPr>
            </w:pPr>
            <w:r>
              <w:rPr>
                <w:rFonts w:hint="eastAsia" w:ascii="宋体" w:hAnsi="宋体" w:eastAsia="宋体" w:cs="宋体"/>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pPr>
              <w:snapToGrid w:val="0"/>
              <w:spacing w:line="400" w:lineRule="exact"/>
              <w:ind w:firstLine="420" w:firstLineChars="200"/>
              <w:rPr>
                <w:rFonts w:hint="eastAsia" w:ascii="宋体" w:hAnsi="宋体" w:eastAsia="宋体" w:cs="宋体"/>
                <w:color w:val="auto"/>
                <w:szCs w:val="21"/>
                <w:lang w:val="zh-CN"/>
              </w:rPr>
            </w:pPr>
          </w:p>
        </w:tc>
        <w:tc>
          <w:tcPr>
            <w:tcW w:w="2825" w:type="dxa"/>
            <w:vAlign w:val="center"/>
          </w:tcPr>
          <w:p>
            <w:pPr>
              <w:snapToGrid w:val="0"/>
              <w:spacing w:line="400" w:lineRule="exact"/>
              <w:rPr>
                <w:rFonts w:hint="eastAsia" w:ascii="宋体" w:hAnsi="宋体" w:eastAsia="宋体" w:cs="宋体"/>
                <w:color w:val="auto"/>
                <w:szCs w:val="21"/>
                <w:lang w:val="zh-CN"/>
              </w:rPr>
            </w:pPr>
            <w:r>
              <w:rPr>
                <w:rFonts w:hint="eastAsia" w:ascii="宋体" w:hAnsi="宋体" w:eastAsia="宋体" w:cs="宋体"/>
                <w:color w:val="auto"/>
                <w:szCs w:val="21"/>
              </w:rPr>
              <w:t>（5）参加采购活动前三年内，在经营活动中没有重大违法记录（注①）</w:t>
            </w:r>
          </w:p>
        </w:tc>
        <w:tc>
          <w:tcPr>
            <w:tcW w:w="4948" w:type="dxa"/>
            <w:vAlign w:val="center"/>
          </w:tcPr>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1.供应商提供书面声明（见格式文件）</w:t>
            </w:r>
          </w:p>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b/>
                <w:color w:val="auto"/>
                <w:szCs w:val="21"/>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060" w:type="dxa"/>
            <w:vMerge w:val="continue"/>
            <w:vAlign w:val="center"/>
          </w:tcPr>
          <w:p>
            <w:pPr>
              <w:snapToGrid w:val="0"/>
              <w:spacing w:line="400" w:lineRule="exact"/>
              <w:ind w:firstLine="420" w:firstLineChars="200"/>
              <w:rPr>
                <w:rFonts w:hint="eastAsia" w:ascii="宋体" w:hAnsi="宋体" w:eastAsia="宋体" w:cs="宋体"/>
                <w:color w:val="auto"/>
                <w:szCs w:val="21"/>
              </w:rPr>
            </w:pPr>
          </w:p>
        </w:tc>
        <w:tc>
          <w:tcPr>
            <w:tcW w:w="2825" w:type="dxa"/>
            <w:vAlign w:val="center"/>
          </w:tcPr>
          <w:p>
            <w:pPr>
              <w:snapToGrid w:val="0"/>
              <w:spacing w:line="400" w:lineRule="exact"/>
              <w:rPr>
                <w:rFonts w:hint="eastAsia" w:ascii="宋体" w:hAnsi="宋体" w:eastAsia="宋体" w:cs="宋体"/>
                <w:color w:val="auto"/>
                <w:szCs w:val="21"/>
              </w:rPr>
            </w:pPr>
            <w:r>
              <w:rPr>
                <w:rFonts w:hint="eastAsia" w:ascii="宋体" w:hAnsi="宋体" w:eastAsia="宋体" w:cs="宋体"/>
                <w:color w:val="auto"/>
                <w:szCs w:val="21"/>
              </w:rPr>
              <w:t>（6）法律、行政法规规定的其他条件</w:t>
            </w:r>
          </w:p>
        </w:tc>
        <w:tc>
          <w:tcPr>
            <w:tcW w:w="4948" w:type="dxa"/>
            <w:vAlign w:val="center"/>
          </w:tcPr>
          <w:p>
            <w:pPr>
              <w:snapToGrid w:val="0"/>
              <w:spacing w:line="400" w:lineRule="exact"/>
              <w:ind w:firstLine="420" w:firstLineChars="20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w:t>
            </w:r>
          </w:p>
        </w:tc>
        <w:tc>
          <w:tcPr>
            <w:tcW w:w="3885" w:type="dxa"/>
            <w:gridSpan w:val="2"/>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特定资格条件</w:t>
            </w:r>
          </w:p>
        </w:tc>
        <w:tc>
          <w:tcPr>
            <w:tcW w:w="4948"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按“第一篇三、</w:t>
            </w:r>
            <w:r>
              <w:rPr>
                <w:rFonts w:hint="eastAsia" w:ascii="宋体" w:hAnsi="宋体" w:eastAsia="宋体" w:cs="宋体"/>
                <w:color w:val="auto"/>
                <w:sz w:val="24"/>
                <w:szCs w:val="24"/>
              </w:rPr>
              <w:t>供应商资格要求</w:t>
            </w:r>
            <w:r>
              <w:rPr>
                <w:rFonts w:hint="eastAsia" w:ascii="宋体" w:hAnsi="宋体" w:eastAsia="宋体" w:cs="宋体"/>
                <w:color w:val="auto"/>
                <w:szCs w:val="21"/>
              </w:rPr>
              <w:t>（二）</w:t>
            </w:r>
            <w:r>
              <w:rPr>
                <w:rFonts w:hint="eastAsia" w:ascii="宋体" w:hAnsi="宋体" w:eastAsia="宋体" w:cs="宋体"/>
                <w:color w:val="auto"/>
                <w:sz w:val="24"/>
                <w:szCs w:val="24"/>
              </w:rPr>
              <w:t>特定资格要求</w:t>
            </w:r>
            <w:r>
              <w:rPr>
                <w:rFonts w:hint="eastAsia" w:ascii="宋体" w:hAnsi="宋体" w:eastAsia="宋体" w:cs="宋体"/>
                <w:color w:val="auto"/>
                <w:szCs w:val="21"/>
              </w:rPr>
              <w:t>的要求提交（如果有）。</w:t>
            </w:r>
          </w:p>
        </w:tc>
      </w:tr>
    </w:tbl>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注：</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②供应商应提供四张截图（截图模板见第七篇后模板）。</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FF0000"/>
          <w:sz w:val="24"/>
          <w:szCs w:val="24"/>
          <w:lang w:eastAsia="zh-CN"/>
        </w:rPr>
        <w:t>实质</w:t>
      </w:r>
      <w:r>
        <w:rPr>
          <w:rFonts w:hint="eastAsia" w:ascii="宋体" w:hAnsi="宋体" w:eastAsia="宋体" w:cs="宋体"/>
          <w:color w:val="FF0000"/>
          <w:sz w:val="24"/>
          <w:szCs w:val="24"/>
        </w:rPr>
        <w:t>性审查</w:t>
      </w:r>
      <w:r>
        <w:rPr>
          <w:rFonts w:hint="eastAsia" w:ascii="宋体" w:hAnsi="宋体" w:eastAsia="宋体" w:cs="宋体"/>
          <w:color w:val="auto"/>
          <w:sz w:val="24"/>
          <w:szCs w:val="24"/>
        </w:rPr>
        <w:t>。依据比选文件的规定，评审小组从响应文件的有效性、完整性和对比选文件的响应程度进行审查，以确定是否对比选文件的实质性要求作出响应。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lang w:eastAsia="zh-CN"/>
        </w:rPr>
        <w:t>实质性</w:t>
      </w:r>
      <w:r>
        <w:rPr>
          <w:rFonts w:hint="eastAsia" w:ascii="宋体" w:hAnsi="宋体" w:eastAsia="宋体" w:cs="宋体"/>
          <w:color w:val="auto"/>
          <w:sz w:val="24"/>
          <w:szCs w:val="24"/>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序号</w:t>
            </w:r>
          </w:p>
        </w:tc>
        <w:tc>
          <w:tcPr>
            <w:tcW w:w="3441" w:type="dxa"/>
            <w:gridSpan w:val="2"/>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评审因素</w:t>
            </w:r>
          </w:p>
        </w:tc>
        <w:tc>
          <w:tcPr>
            <w:tcW w:w="5409" w:type="dxa"/>
            <w:vAlign w:val="center"/>
          </w:tcPr>
          <w:p>
            <w:pPr>
              <w:snapToGrid w:val="0"/>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457" w:type="dxa"/>
            <w:vMerge w:val="restart"/>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有效性审查</w:t>
            </w:r>
          </w:p>
        </w:tc>
        <w:tc>
          <w:tcPr>
            <w:tcW w:w="1984"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响应文件签署</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w:t>
            </w:r>
          </w:p>
        </w:tc>
        <w:tc>
          <w:tcPr>
            <w:tcW w:w="5409" w:type="dxa"/>
            <w:vAlign w:val="center"/>
          </w:tcPr>
          <w:p>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响应方案</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hint="eastAsia" w:ascii="宋体" w:hAnsi="宋体" w:eastAsia="宋体" w:cs="宋体"/>
                <w:color w:val="auto"/>
                <w:szCs w:val="21"/>
              </w:rPr>
            </w:pPr>
          </w:p>
        </w:tc>
        <w:tc>
          <w:tcPr>
            <w:tcW w:w="1457" w:type="dxa"/>
            <w:vMerge w:val="continue"/>
            <w:vAlign w:val="center"/>
          </w:tcPr>
          <w:p>
            <w:pPr>
              <w:snapToGrid w:val="0"/>
              <w:spacing w:line="400" w:lineRule="exact"/>
              <w:ind w:firstLine="420" w:firstLineChars="200"/>
              <w:jc w:val="left"/>
              <w:rPr>
                <w:rFonts w:hint="eastAsia" w:ascii="宋体" w:hAnsi="宋体" w:eastAsia="宋体" w:cs="宋体"/>
                <w:color w:val="auto"/>
                <w:szCs w:val="21"/>
              </w:rPr>
            </w:pPr>
          </w:p>
        </w:tc>
        <w:tc>
          <w:tcPr>
            <w:tcW w:w="1984" w:type="dxa"/>
            <w:vAlign w:val="center"/>
          </w:tcPr>
          <w:p>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rPr>
              <w:t>报价唯一</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只能在预算金额和最高限价内报价，</w:t>
            </w:r>
            <w:r>
              <w:rPr>
                <w:rFonts w:hint="eastAsia" w:ascii="宋体" w:hAnsi="宋体" w:eastAsia="宋体" w:cs="宋体"/>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457"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完整性审查</w:t>
            </w:r>
          </w:p>
        </w:tc>
        <w:tc>
          <w:tcPr>
            <w:tcW w:w="1984"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响应文件份数</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457"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服务部分</w:t>
            </w:r>
          </w:p>
        </w:tc>
        <w:tc>
          <w:tcPr>
            <w:tcW w:w="1984"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本采购文件第三篇中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1457"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商务部分</w:t>
            </w:r>
          </w:p>
        </w:tc>
        <w:tc>
          <w:tcPr>
            <w:tcW w:w="1984"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本采购文件第四篇中</w:t>
            </w:r>
            <w:r>
              <w:rPr>
                <w:rFonts w:hint="eastAsia" w:ascii="宋体" w:hAnsi="宋体" w:eastAsia="宋体" w:cs="宋体"/>
                <w:color w:val="auto"/>
                <w:szCs w:val="21"/>
                <w:lang w:eastAsia="zh-CN"/>
              </w:rPr>
              <w:t>所有</w:t>
            </w:r>
            <w:r>
              <w:rPr>
                <w:rFonts w:hint="eastAsia" w:ascii="宋体" w:hAnsi="宋体" w:eastAsia="宋体" w:cs="宋体"/>
                <w:color w:val="auto"/>
                <w:szCs w:val="21"/>
              </w:rPr>
              <w:t>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1457"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响应有效期</w:t>
            </w:r>
          </w:p>
        </w:tc>
        <w:tc>
          <w:tcPr>
            <w:tcW w:w="1984" w:type="dxa"/>
            <w:vAlign w:val="center"/>
          </w:tcPr>
          <w:p>
            <w:pPr>
              <w:snapToGrid w:val="0"/>
              <w:spacing w:line="400" w:lineRule="exact"/>
              <w:jc w:val="left"/>
              <w:rPr>
                <w:rFonts w:hint="eastAsia" w:ascii="宋体" w:hAnsi="宋体" w:eastAsia="宋体" w:cs="宋体"/>
                <w:color w:val="auto"/>
                <w:szCs w:val="21"/>
                <w:lang w:val="zh-CN"/>
              </w:rPr>
            </w:pPr>
            <w:r>
              <w:rPr>
                <w:rFonts w:hint="eastAsia" w:ascii="宋体" w:hAnsi="宋体" w:eastAsia="宋体" w:cs="宋体"/>
                <w:color w:val="auto"/>
                <w:szCs w:val="21"/>
                <w:lang w:val="zh-CN"/>
              </w:rPr>
              <w:t>响应</w:t>
            </w:r>
            <w:r>
              <w:rPr>
                <w:rFonts w:hint="eastAsia" w:ascii="宋体" w:hAnsi="宋体" w:eastAsia="宋体" w:cs="宋体"/>
                <w:color w:val="auto"/>
                <w:szCs w:val="21"/>
              </w:rPr>
              <w:t>文件内容</w:t>
            </w:r>
          </w:p>
        </w:tc>
        <w:tc>
          <w:tcPr>
            <w:tcW w:w="5409" w:type="dxa"/>
            <w:vAlign w:val="center"/>
          </w:tcPr>
          <w:p>
            <w:pPr>
              <w:snapToGrid w:val="0"/>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zh-CN"/>
              </w:rPr>
              <w:t>响应</w:t>
            </w:r>
            <w:r>
              <w:rPr>
                <w:rFonts w:hint="eastAsia" w:ascii="宋体" w:hAnsi="宋体" w:eastAsia="宋体" w:cs="宋体"/>
                <w:color w:val="auto"/>
                <w:szCs w:val="21"/>
              </w:rPr>
              <w:t>有效期为响应截止日期后90天内</w:t>
            </w:r>
          </w:p>
        </w:tc>
      </w:tr>
    </w:tbl>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（五）在比选过程中比选的任何一方不得向他人透露与比选有关的技术资料、价格或其他信息。</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（七）供应商在比选时作出的所有书面承诺须由法定代表人或其授权代表签字。</w:t>
      </w:r>
    </w:p>
    <w:p>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pPr>
        <w:pStyle w:val="3"/>
        <w:spacing w:line="240" w:lineRule="auto"/>
        <w:rPr>
          <w:rFonts w:hint="eastAsia" w:ascii="宋体" w:hAnsi="宋体" w:eastAsia="宋体" w:cs="宋体"/>
          <w:color w:val="auto"/>
          <w:sz w:val="24"/>
          <w:szCs w:val="24"/>
        </w:rPr>
      </w:pPr>
      <w:bookmarkStart w:id="42" w:name="_Toc28776"/>
      <w:bookmarkStart w:id="43" w:name="_Toc14247"/>
      <w:bookmarkStart w:id="44" w:name="_Toc403569781"/>
      <w:bookmarkStart w:id="45" w:name="_Toc102227320"/>
      <w:bookmarkStart w:id="46" w:name="_Toc342913394"/>
      <w:r>
        <w:rPr>
          <w:rFonts w:hint="eastAsia" w:ascii="宋体" w:hAnsi="宋体" w:eastAsia="宋体" w:cs="宋体"/>
          <w:color w:val="auto"/>
          <w:sz w:val="24"/>
          <w:szCs w:val="24"/>
        </w:rPr>
        <w:t>五、评审依据</w:t>
      </w:r>
      <w:bookmarkEnd w:id="42"/>
      <w:bookmarkEnd w:id="43"/>
      <w:bookmarkEnd w:id="44"/>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宋体" w:hAnsi="宋体" w:eastAsia="宋体" w:cs="宋体"/>
          <w:color w:val="auto"/>
          <w:sz w:val="24"/>
          <w:szCs w:val="24"/>
        </w:rPr>
      </w:pPr>
      <w:bookmarkStart w:id="47" w:name="_Toc29340"/>
      <w:bookmarkStart w:id="48" w:name="_Toc14816"/>
      <w:bookmarkStart w:id="49" w:name="_Toc403569782"/>
      <w:r>
        <w:rPr>
          <w:rFonts w:hint="eastAsia" w:ascii="宋体" w:hAnsi="宋体" w:eastAsia="宋体" w:cs="宋体"/>
          <w:color w:val="auto"/>
          <w:sz w:val="24"/>
          <w:szCs w:val="24"/>
        </w:rPr>
        <w:t>六、成交</w:t>
      </w:r>
      <w:bookmarkEnd w:id="45"/>
      <w:r>
        <w:rPr>
          <w:rFonts w:hint="eastAsia" w:ascii="宋体" w:hAnsi="宋体" w:eastAsia="宋体" w:cs="宋体"/>
          <w:color w:val="auto"/>
          <w:sz w:val="24"/>
          <w:szCs w:val="24"/>
        </w:rPr>
        <w:t>原则</w:t>
      </w:r>
      <w:bookmarkEnd w:id="46"/>
      <w:bookmarkEnd w:id="47"/>
      <w:bookmarkEnd w:id="48"/>
      <w:bookmarkEnd w:id="49"/>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（一）评审办法</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FF0000"/>
          <w:sz w:val="24"/>
          <w:szCs w:val="24"/>
        </w:rPr>
        <w:t>1.评审小组将依照本比选文件相关规定对</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和</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均能满足比选实质性响应要求的供应商所提交的最后报价由低到高的顺序提出成交候选人，并编写评审报告。</w:t>
      </w:r>
    </w:p>
    <w:p>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2.若供应商的最后报价经扣减后价格相同，</w:t>
      </w:r>
      <w:r>
        <w:rPr>
          <w:rFonts w:hint="eastAsia" w:ascii="宋体" w:hAnsi="宋体" w:eastAsia="宋体" w:cs="宋体"/>
          <w:color w:val="FF0000"/>
          <w:sz w:val="24"/>
          <w:szCs w:val="24"/>
          <w:lang w:eastAsia="zh-CN"/>
        </w:rPr>
        <w:t>服务条款</w:t>
      </w:r>
      <w:r>
        <w:rPr>
          <w:rFonts w:hint="eastAsia" w:ascii="宋体" w:hAnsi="宋体" w:eastAsia="宋体" w:cs="宋体"/>
          <w:color w:val="FF0000"/>
          <w:sz w:val="24"/>
          <w:szCs w:val="24"/>
        </w:rPr>
        <w:t>的优劣顺序排列；以上都相同的，按</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条款的优劣顺序排列。</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3.成交价格=成交供应商的最后报价</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（二）评审细则：</w:t>
      </w:r>
    </w:p>
    <w:p>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1. 资格</w:t>
      </w:r>
      <w:r>
        <w:rPr>
          <w:rFonts w:hint="eastAsia" w:ascii="宋体" w:hAnsi="宋体" w:eastAsia="宋体" w:cs="宋体"/>
          <w:color w:val="FF0000"/>
          <w:sz w:val="24"/>
          <w:szCs w:val="24"/>
          <w:lang w:eastAsia="zh-CN"/>
        </w:rPr>
        <w:t>符合性</w:t>
      </w:r>
      <w:r>
        <w:rPr>
          <w:rFonts w:hint="eastAsia" w:ascii="宋体" w:hAnsi="宋体" w:eastAsia="宋体" w:cs="宋体"/>
          <w:color w:val="FF0000"/>
          <w:sz w:val="24"/>
          <w:szCs w:val="24"/>
        </w:rPr>
        <w:t>检查</w:t>
      </w:r>
    </w:p>
    <w:p>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依据法律法规和比选文件的规定，对供应商的资格证明等进行审查，以确定供应商是否具备比选资格。</w:t>
      </w:r>
    </w:p>
    <w:p>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2.对响应文件的有效性、完整性和响应程度检查</w:t>
      </w:r>
    </w:p>
    <w:p>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依据比选文件的规定，对供应商的响应文件从</w:t>
      </w:r>
      <w:r>
        <w:rPr>
          <w:rFonts w:hint="eastAsia" w:ascii="宋体" w:hAnsi="宋体" w:eastAsia="宋体" w:cs="宋体"/>
          <w:color w:val="FF0000"/>
          <w:sz w:val="24"/>
          <w:szCs w:val="24"/>
          <w:lang w:eastAsia="zh-CN"/>
        </w:rPr>
        <w:t>服务</w:t>
      </w:r>
      <w:r>
        <w:rPr>
          <w:rFonts w:hint="eastAsia" w:ascii="宋体" w:hAnsi="宋体" w:eastAsia="宋体" w:cs="宋体"/>
          <w:color w:val="FF0000"/>
          <w:sz w:val="24"/>
          <w:szCs w:val="24"/>
        </w:rPr>
        <w:t>、</w:t>
      </w:r>
      <w:r>
        <w:rPr>
          <w:rFonts w:hint="eastAsia" w:ascii="宋体" w:hAnsi="宋体" w:eastAsia="宋体" w:cs="宋体"/>
          <w:color w:val="FF0000"/>
          <w:sz w:val="24"/>
          <w:szCs w:val="24"/>
          <w:lang w:eastAsia="zh-CN"/>
        </w:rPr>
        <w:t>商务</w:t>
      </w:r>
      <w:r>
        <w:rPr>
          <w:rFonts w:hint="eastAsia" w:ascii="宋体" w:hAnsi="宋体" w:eastAsia="宋体" w:cs="宋体"/>
          <w:color w:val="FF0000"/>
          <w:sz w:val="24"/>
          <w:szCs w:val="24"/>
        </w:rPr>
        <w:t>等方面进行审查，以确定供应商是否实质性响应比选文件的要求。</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3.若同一合同项（分包）下为单一品目的</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lang w:eastAsia="zh-CN"/>
        </w:rPr>
        <w:t>实质</w:t>
      </w:r>
      <w:r>
        <w:rPr>
          <w:rFonts w:hint="eastAsia" w:ascii="宋体" w:hAnsi="宋体" w:eastAsia="宋体" w:cs="宋体"/>
          <w:color w:val="auto"/>
          <w:sz w:val="24"/>
          <w:szCs w:val="24"/>
        </w:rPr>
        <w:t>性检查）合格的前提下，选取最终报价最低的供应商进入评审，舍掉其他供应商。</w:t>
      </w:r>
    </w:p>
    <w:p>
      <w:pPr>
        <w:snapToGrid w:val="0"/>
        <w:spacing w:line="39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4.成交供应商的确定：</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（4）评审小组将依照评审办法提出成交候选人。</w:t>
      </w:r>
    </w:p>
    <w:p>
      <w:pPr>
        <w:snapToGrid w:val="0"/>
        <w:spacing w:line="390" w:lineRule="exact"/>
        <w:ind w:firstLine="402" w:firstLineChars="167"/>
        <w:rPr>
          <w:rFonts w:hint="eastAsia" w:ascii="宋体" w:hAnsi="宋体" w:eastAsia="宋体" w:cs="宋体"/>
          <w:b/>
          <w:color w:val="auto"/>
          <w:sz w:val="24"/>
          <w:szCs w:val="24"/>
        </w:rPr>
      </w:pPr>
      <w:r>
        <w:rPr>
          <w:rFonts w:hint="eastAsia" w:ascii="宋体" w:hAnsi="宋体" w:eastAsia="宋体" w:cs="宋体"/>
          <w:b/>
          <w:color w:val="auto"/>
          <w:sz w:val="24"/>
          <w:szCs w:val="24"/>
        </w:rPr>
        <w:t>5.成交供应商的变更</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b/>
          <w:color w:val="auto"/>
          <w:sz w:val="24"/>
          <w:szCs w:val="24"/>
        </w:rPr>
        <w:t xml:space="preserve"> 采购终止</w:t>
      </w:r>
    </w:p>
    <w:p>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（1）因情况变化，不再符合规定的比选采购方式适用情形的；</w:t>
      </w:r>
    </w:p>
    <w:p>
      <w:pPr>
        <w:snapToGrid w:val="0"/>
        <w:spacing w:line="390" w:lineRule="exact"/>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pPr>
        <w:snapToGrid w:val="0"/>
        <w:spacing w:line="390" w:lineRule="exact"/>
        <w:ind w:firstLine="360" w:firstLineChars="150"/>
        <w:rPr>
          <w:rFonts w:hint="eastAsia" w:ascii="宋体" w:hAnsi="宋体" w:eastAsia="宋体" w:cs="宋体"/>
          <w:color w:val="FF0000"/>
          <w:sz w:val="24"/>
          <w:szCs w:val="24"/>
        </w:rPr>
      </w:pPr>
      <w:r>
        <w:rPr>
          <w:rFonts w:hint="eastAsia" w:ascii="宋体" w:hAnsi="宋体" w:eastAsia="宋体" w:cs="宋体"/>
          <w:color w:val="FF0000"/>
          <w:sz w:val="24"/>
          <w:szCs w:val="24"/>
        </w:rPr>
        <w:t>（3）在采购过程中符合竞争要求的供应商不足3家的，但《医院采购管理办法</w:t>
      </w:r>
      <w:r>
        <w:rPr>
          <w:rFonts w:hint="eastAsia" w:ascii="宋体" w:hAnsi="宋体" w:eastAsia="宋体" w:cs="宋体"/>
          <w:color w:val="FF0000"/>
          <w:sz w:val="24"/>
          <w:szCs w:val="24"/>
          <w:lang w:val="en-US" w:eastAsia="zh-CN"/>
        </w:rPr>
        <w:t>(2023年修订)</w:t>
      </w:r>
      <w:r>
        <w:rPr>
          <w:rFonts w:hint="eastAsia" w:ascii="宋体" w:hAnsi="宋体" w:eastAsia="宋体" w:cs="宋体"/>
          <w:color w:val="FF0000"/>
          <w:sz w:val="24"/>
          <w:szCs w:val="24"/>
        </w:rPr>
        <w:t>》第二十</w:t>
      </w:r>
      <w:r>
        <w:rPr>
          <w:rFonts w:hint="eastAsia" w:ascii="宋体" w:hAnsi="宋体" w:eastAsia="宋体" w:cs="宋体"/>
          <w:color w:val="FF0000"/>
          <w:sz w:val="24"/>
          <w:szCs w:val="24"/>
          <w:lang w:eastAsia="zh-CN"/>
        </w:rPr>
        <w:t>八</w:t>
      </w:r>
      <w:r>
        <w:rPr>
          <w:rFonts w:hint="eastAsia" w:ascii="宋体" w:hAnsi="宋体" w:eastAsia="宋体" w:cs="宋体"/>
          <w:color w:val="FF0000"/>
          <w:sz w:val="24"/>
          <w:szCs w:val="24"/>
        </w:rPr>
        <w:t>条第一款（五）规定的情形除外。</w:t>
      </w:r>
    </w:p>
    <w:p>
      <w:pPr>
        <w:pStyle w:val="3"/>
        <w:spacing w:line="240" w:lineRule="auto"/>
        <w:rPr>
          <w:rFonts w:hint="eastAsia" w:ascii="宋体" w:hAnsi="宋体" w:eastAsia="宋体" w:cs="宋体"/>
          <w:color w:val="auto"/>
          <w:sz w:val="24"/>
          <w:szCs w:val="24"/>
        </w:rPr>
      </w:pPr>
      <w:bookmarkStart w:id="50" w:name="_Toc342913395"/>
      <w:bookmarkStart w:id="51" w:name="_Toc3212"/>
      <w:bookmarkStart w:id="52" w:name="_Toc102227321"/>
      <w:bookmarkStart w:id="53" w:name="_Toc403569783"/>
      <w:bookmarkStart w:id="54" w:name="_Toc7135"/>
      <w:r>
        <w:rPr>
          <w:rFonts w:hint="eastAsia" w:ascii="宋体" w:hAnsi="宋体" w:eastAsia="宋体" w:cs="宋体"/>
          <w:color w:val="auto"/>
          <w:sz w:val="24"/>
          <w:szCs w:val="24"/>
        </w:rPr>
        <w:t>七、成交通知</w:t>
      </w:r>
      <w:bookmarkEnd w:id="50"/>
      <w:bookmarkEnd w:id="51"/>
      <w:bookmarkEnd w:id="52"/>
      <w:bookmarkEnd w:id="53"/>
      <w:bookmarkEnd w:id="54"/>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hint="eastAsia" w:ascii="宋体" w:hAnsi="宋体" w:eastAsia="宋体" w:cs="宋体"/>
          <w:color w:val="auto"/>
          <w:sz w:val="24"/>
          <w:szCs w:val="24"/>
        </w:rPr>
      </w:pPr>
      <w:r>
        <w:rPr>
          <w:rFonts w:hint="eastAsia" w:ascii="宋体" w:hAnsi="宋体" w:eastAsia="宋体" w:cs="宋体"/>
          <w:color w:val="auto"/>
          <w:sz w:val="24"/>
          <w:szCs w:val="24"/>
        </w:rPr>
        <w:t>2.接到采购结果通知后30天内必须来医院完善合同相关手续，逾期视为自动放弃供应商资格。</w:t>
      </w:r>
    </w:p>
    <w:p>
      <w:pPr>
        <w:pStyle w:val="3"/>
        <w:spacing w:line="240" w:lineRule="auto"/>
        <w:rPr>
          <w:rFonts w:hint="eastAsia" w:ascii="宋体" w:hAnsi="宋体" w:eastAsia="宋体" w:cs="宋体"/>
          <w:color w:val="auto"/>
          <w:sz w:val="24"/>
          <w:szCs w:val="24"/>
        </w:rPr>
      </w:pPr>
      <w:bookmarkStart w:id="55" w:name="_Toc403569784"/>
      <w:bookmarkStart w:id="56" w:name="_Toc12880"/>
      <w:bookmarkStart w:id="57" w:name="_Toc17413"/>
      <w:r>
        <w:rPr>
          <w:rFonts w:hint="eastAsia" w:ascii="宋体" w:hAnsi="宋体" w:eastAsia="宋体" w:cs="宋体"/>
          <w:color w:val="auto"/>
          <w:sz w:val="24"/>
          <w:szCs w:val="24"/>
        </w:rPr>
        <w:t>八、关于质疑和投诉</w:t>
      </w:r>
      <w:bookmarkEnd w:id="55"/>
      <w:bookmarkEnd w:id="56"/>
      <w:bookmarkEnd w:id="57"/>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（一）质疑</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提出质疑的应当是参与所质疑项目采购活动的供应商。 </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1、质疑时限、内容</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①供应商的姓名或者名称、地址、邮编、联系人及联系电话；</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②质疑项目的名称、项目编号；</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③具体、明确的质疑事项和与质疑事项相关的请求；</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④事实依据；</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⑤必要的法律依据；</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⑥提出质疑的日期；</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2、质疑答复</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3、其他</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（2）质疑函范本可在财政部门户网站和中国政府采购网下载。</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（三）投诉</w:t>
      </w:r>
    </w:p>
    <w:p>
      <w:pPr>
        <w:snapToGrid w:val="0"/>
        <w:spacing w:line="400" w:lineRule="exact"/>
        <w:ind w:firstLine="480" w:firstLineChars="200"/>
        <w:jc w:val="left"/>
        <w:rPr>
          <w:rFonts w:hint="eastAsia" w:ascii="宋体" w:hAnsi="宋体" w:eastAsia="宋体" w:cs="宋体"/>
          <w:color w:val="auto"/>
          <w:sz w:val="24"/>
          <w:szCs w:val="24"/>
        </w:rPr>
      </w:pPr>
      <w:bookmarkStart w:id="58" w:name="_Toc102227322"/>
      <w:bookmarkStart w:id="59" w:name="_Toc6381"/>
      <w:bookmarkStart w:id="60" w:name="_Toc342913396"/>
      <w:bookmarkStart w:id="61" w:name="_Toc403569785"/>
      <w:r>
        <w:rPr>
          <w:rFonts w:hint="eastAsia" w:ascii="宋体" w:hAnsi="宋体" w:eastAsia="宋体" w:cs="宋体"/>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宋体" w:hAnsi="宋体" w:eastAsia="宋体" w:cs="宋体"/>
          <w:color w:val="auto"/>
          <w:sz w:val="24"/>
          <w:szCs w:val="24"/>
        </w:rPr>
      </w:pPr>
      <w:bookmarkStart w:id="62" w:name="_Toc5728"/>
      <w:r>
        <w:rPr>
          <w:rFonts w:hint="eastAsia" w:ascii="宋体" w:hAnsi="宋体" w:eastAsia="宋体" w:cs="宋体"/>
          <w:color w:val="auto"/>
          <w:sz w:val="24"/>
          <w:szCs w:val="24"/>
        </w:rPr>
        <w:t>九、签订</w:t>
      </w:r>
      <w:bookmarkEnd w:id="58"/>
      <w:r>
        <w:rPr>
          <w:rFonts w:hint="eastAsia" w:ascii="宋体" w:hAnsi="宋体" w:eastAsia="宋体" w:cs="宋体"/>
          <w:color w:val="auto"/>
          <w:sz w:val="24"/>
          <w:szCs w:val="24"/>
        </w:rPr>
        <w:t>合同</w:t>
      </w:r>
      <w:bookmarkEnd w:id="59"/>
      <w:bookmarkEnd w:id="60"/>
      <w:bookmarkEnd w:id="61"/>
      <w:bookmarkEnd w:id="62"/>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2、采购文件、成交供应商的响应文件及有效承诺文件等，均为签订合同的依据。</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snapToGrid w:val="0"/>
        <w:spacing w:line="400" w:lineRule="exact"/>
        <w:ind w:firstLine="480" w:firstLineChars="200"/>
        <w:jc w:val="left"/>
        <w:rPr>
          <w:rFonts w:hint="eastAsia" w:ascii="宋体" w:hAnsi="宋体" w:eastAsia="宋体" w:cs="宋体"/>
          <w:color w:val="auto"/>
          <w:sz w:val="24"/>
          <w:szCs w:val="24"/>
        </w:rPr>
      </w:pPr>
    </w:p>
    <w:p>
      <w:pPr>
        <w:pStyle w:val="2"/>
        <w:jc w:val="both"/>
        <w:rPr>
          <w:rFonts w:hint="eastAsia" w:ascii="宋体" w:hAnsi="宋体" w:eastAsia="宋体" w:cs="宋体"/>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pPr>
        <w:pStyle w:val="2"/>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第三篇  项目服务需求</w:t>
      </w:r>
      <w:bookmarkEnd w:id="63"/>
      <w:bookmarkEnd w:id="64"/>
    </w:p>
    <w:p>
      <w:pPr>
        <w:pStyle w:val="3"/>
        <w:spacing w:line="240" w:lineRule="auto"/>
        <w:rPr>
          <w:rFonts w:hint="eastAsia" w:ascii="宋体" w:hAnsi="宋体" w:eastAsia="宋体" w:cs="宋体"/>
          <w:color w:val="FF0000"/>
          <w:sz w:val="24"/>
          <w:szCs w:val="24"/>
        </w:rPr>
      </w:pPr>
      <w:bookmarkStart w:id="65" w:name="_Toc12789058"/>
      <w:r>
        <w:rPr>
          <w:rFonts w:hint="eastAsia" w:ascii="宋体" w:hAnsi="宋体" w:eastAsia="宋体" w:cs="宋体"/>
          <w:color w:val="FF0000"/>
          <w:sz w:val="24"/>
          <w:szCs w:val="24"/>
        </w:rPr>
        <w:t>一、项目概况</w:t>
      </w:r>
    </w:p>
    <w:p>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1、毕业典礼是大学教育的重要组成部分，也是学校文化和传统的重要体现，为给毕业生留下宝贵的记忆，同时展现我们学院的风采，于6月25日下午3点举办2024届毕业典礼及学位授予仪式。</w:t>
      </w:r>
    </w:p>
    <w:p>
      <w:pPr>
        <w:pStyle w:val="3"/>
        <w:spacing w:line="240" w:lineRule="auto"/>
        <w:rPr>
          <w:rFonts w:hint="eastAsia" w:ascii="宋体" w:hAnsi="宋体" w:eastAsia="宋体" w:cs="宋体"/>
          <w:color w:val="FF0000"/>
          <w:sz w:val="24"/>
          <w:szCs w:val="24"/>
        </w:rPr>
      </w:pPr>
      <w:r>
        <w:rPr>
          <w:rFonts w:hint="eastAsia" w:ascii="宋体" w:hAnsi="宋体" w:eastAsia="宋体" w:cs="宋体"/>
          <w:color w:val="FF0000"/>
          <w:sz w:val="24"/>
          <w:szCs w:val="24"/>
        </w:rPr>
        <w:t>二、服务需求</w:t>
      </w:r>
    </w:p>
    <w:tbl>
      <w:tblPr>
        <w:tblStyle w:val="58"/>
        <w:tblW w:w="9034" w:type="dxa"/>
        <w:jc w:val="center"/>
        <w:tblLayout w:type="fixed"/>
        <w:tblCellMar>
          <w:top w:w="0" w:type="dxa"/>
          <w:left w:w="108" w:type="dxa"/>
          <w:bottom w:w="0" w:type="dxa"/>
          <w:right w:w="108" w:type="dxa"/>
        </w:tblCellMar>
      </w:tblPr>
      <w:tblGrid>
        <w:gridCol w:w="917"/>
        <w:gridCol w:w="2391"/>
        <w:gridCol w:w="2139"/>
        <w:gridCol w:w="2320"/>
        <w:gridCol w:w="1267"/>
      </w:tblGrid>
      <w:tr>
        <w:tblPrEx>
          <w:tblCellMar>
            <w:top w:w="0" w:type="dxa"/>
            <w:left w:w="108" w:type="dxa"/>
            <w:bottom w:w="0" w:type="dxa"/>
            <w:right w:w="108" w:type="dxa"/>
          </w:tblCellMar>
        </w:tblPrEx>
        <w:trPr>
          <w:trHeight w:val="285" w:hRule="atLeast"/>
          <w:jc w:val="center"/>
        </w:trPr>
        <w:tc>
          <w:tcPr>
            <w:tcW w:w="9034" w:type="dxa"/>
            <w:gridSpan w:val="5"/>
            <w:tcBorders>
              <w:top w:val="single" w:color="474747" w:sz="8" w:space="0"/>
              <w:left w:val="single" w:color="474747" w:sz="8" w:space="0"/>
              <w:bottom w:val="single" w:color="888E93" w:sz="8" w:space="0"/>
              <w:right w:val="single" w:color="474747" w:sz="8" w:space="0"/>
            </w:tcBorders>
            <w:shd w:val="clear" w:color="auto" w:fill="FFFFFF"/>
          </w:tcPr>
          <w:p>
            <w:pPr>
              <w:ind w:firstLine="0" w:firstLineChars="0"/>
            </w:pPr>
            <w:r>
              <w:rPr>
                <w:rFonts w:hint="eastAsia"/>
              </w:rPr>
              <w:t xml:space="preserve">一、舞台部分 </w:t>
            </w:r>
          </w:p>
        </w:tc>
      </w:tr>
      <w:tr>
        <w:tblPrEx>
          <w:tblCellMar>
            <w:top w:w="0" w:type="dxa"/>
            <w:left w:w="108" w:type="dxa"/>
            <w:bottom w:w="0" w:type="dxa"/>
            <w:right w:w="108" w:type="dxa"/>
          </w:tblCellMar>
        </w:tblPrEx>
        <w:trPr>
          <w:trHeight w:val="27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序号</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项目名称</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规格/型号</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耗材/单位</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数量</w:t>
            </w:r>
          </w:p>
        </w:tc>
      </w:tr>
      <w:tr>
        <w:tblPrEx>
          <w:tblCellMar>
            <w:top w:w="0" w:type="dxa"/>
            <w:left w:w="108" w:type="dxa"/>
            <w:bottom w:w="0" w:type="dxa"/>
            <w:right w:w="108" w:type="dxa"/>
          </w:tblCellMar>
        </w:tblPrEx>
        <w:trPr>
          <w:trHeight w:val="27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灰色地毯</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抓绒，及梯步、包边</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r>
              <w:rPr>
                <w:rFonts w:hint="eastAsia"/>
                <w:sz w:val="28"/>
                <w:szCs w:val="28"/>
              </w:rPr>
              <w:t>20*12m</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240</w:t>
            </w:r>
          </w:p>
        </w:tc>
      </w:tr>
      <w:tr>
        <w:tblPrEx>
          <w:tblCellMar>
            <w:top w:w="0" w:type="dxa"/>
            <w:left w:w="108" w:type="dxa"/>
            <w:bottom w:w="0" w:type="dxa"/>
            <w:right w:w="108" w:type="dxa"/>
          </w:tblCellMar>
        </w:tblPrEx>
        <w:trPr>
          <w:trHeight w:val="27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2</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四步梯</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2.4m*2组</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r>
              <w:rPr>
                <w:rFonts w:hint="eastAsia"/>
                <w:sz w:val="28"/>
                <w:szCs w:val="28"/>
              </w:rPr>
              <w:t>定制</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3</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舞台斜面</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11*1.3m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14</w:t>
            </w:r>
          </w:p>
        </w:tc>
      </w:tr>
      <w:tr>
        <w:tblPrEx>
          <w:tblCellMar>
            <w:top w:w="0" w:type="dxa"/>
            <w:left w:w="108" w:type="dxa"/>
            <w:bottom w:w="0" w:type="dxa"/>
            <w:right w:w="108" w:type="dxa"/>
          </w:tblCellMar>
        </w:tblPrEx>
        <w:trPr>
          <w:trHeight w:val="27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4</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立体字</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62*48cm/字</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泡沫字+白色有机片</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672</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5</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司仪台</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1个，租赁</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6</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横幅</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15*1.2m*3条</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户外旗帜布</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45</w:t>
            </w:r>
          </w:p>
        </w:tc>
      </w:tr>
      <w:tr>
        <w:tblPrEx>
          <w:tblCellMar>
            <w:top w:w="0" w:type="dxa"/>
            <w:left w:w="108" w:type="dxa"/>
            <w:bottom w:w="0" w:type="dxa"/>
            <w:right w:w="108" w:type="dxa"/>
          </w:tblCellMar>
        </w:tblPrEx>
        <w:trPr>
          <w:trHeight w:val="285" w:hRule="atLeast"/>
          <w:jc w:val="center"/>
        </w:trPr>
        <w:tc>
          <w:tcPr>
            <w:tcW w:w="9034" w:type="dxa"/>
            <w:gridSpan w:val="5"/>
            <w:tcBorders>
              <w:top w:val="single" w:color="888E93" w:sz="8" w:space="0"/>
              <w:left w:val="single" w:color="474747" w:sz="8" w:space="0"/>
              <w:bottom w:val="single" w:color="888E93" w:sz="8" w:space="0"/>
              <w:right w:val="single" w:color="474747" w:sz="8" w:space="0"/>
            </w:tcBorders>
            <w:shd w:val="clear" w:color="auto" w:fill="FFFFFF"/>
            <w:vAlign w:val="center"/>
          </w:tcPr>
          <w:p>
            <w:pPr>
              <w:spacing w:line="300" w:lineRule="exact"/>
              <w:ind w:firstLine="560"/>
              <w:rPr>
                <w:sz w:val="28"/>
                <w:szCs w:val="28"/>
              </w:rPr>
            </w:pPr>
            <w:r>
              <w:rPr>
                <w:rFonts w:hint="eastAsia"/>
                <w:sz w:val="28"/>
                <w:szCs w:val="28"/>
              </w:rPr>
              <w:t>二、屏幕部分</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技术人员</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流程管控</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w:t>
            </w:r>
          </w:p>
        </w:tc>
      </w:tr>
      <w:tr>
        <w:tblPrEx>
          <w:tblCellMar>
            <w:top w:w="0" w:type="dxa"/>
            <w:left w:w="108" w:type="dxa"/>
            <w:bottom w:w="0" w:type="dxa"/>
            <w:right w:w="108" w:type="dxa"/>
          </w:tblCellMar>
        </w:tblPrEx>
        <w:trPr>
          <w:trHeight w:val="285" w:hRule="atLeast"/>
          <w:jc w:val="center"/>
        </w:trPr>
        <w:tc>
          <w:tcPr>
            <w:tcW w:w="9034" w:type="dxa"/>
            <w:gridSpan w:val="5"/>
            <w:tcBorders>
              <w:top w:val="single" w:color="888E93" w:sz="8" w:space="0"/>
              <w:left w:val="single" w:color="474747" w:sz="8" w:space="0"/>
              <w:bottom w:val="single" w:color="888E93" w:sz="8" w:space="0"/>
              <w:right w:val="single" w:color="474747" w:sz="8" w:space="0"/>
            </w:tcBorders>
            <w:shd w:val="clear" w:color="auto" w:fill="FFFFFF"/>
            <w:vAlign w:val="center"/>
          </w:tcPr>
          <w:p>
            <w:pPr>
              <w:spacing w:line="300" w:lineRule="exact"/>
              <w:ind w:firstLine="560"/>
              <w:rPr>
                <w:sz w:val="28"/>
                <w:szCs w:val="28"/>
              </w:rPr>
            </w:pPr>
            <w:r>
              <w:rPr>
                <w:rFonts w:hint="eastAsia"/>
                <w:sz w:val="28"/>
                <w:szCs w:val="28"/>
              </w:rPr>
              <w:t>三、音响部分</w:t>
            </w:r>
          </w:p>
        </w:tc>
      </w:tr>
      <w:tr>
        <w:tblPrEx>
          <w:tblCellMar>
            <w:top w:w="0" w:type="dxa"/>
            <w:left w:w="108" w:type="dxa"/>
            <w:bottom w:w="0" w:type="dxa"/>
            <w:right w:w="108" w:type="dxa"/>
          </w:tblCellMar>
        </w:tblPrEx>
        <w:trPr>
          <w:trHeight w:val="27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序号</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r>
              <w:rPr>
                <w:rFonts w:hint="eastAsia"/>
                <w:sz w:val="28"/>
                <w:szCs w:val="28"/>
              </w:rPr>
              <w:t>器材名称</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规格/型号</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耗材/单位</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数量</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线阵音响</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4+2+2</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2</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手持话筒</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5</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3</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司仪台讲话话筒</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w:t>
            </w:r>
          </w:p>
        </w:tc>
      </w:tr>
      <w:tr>
        <w:tblPrEx>
          <w:tblCellMar>
            <w:top w:w="0" w:type="dxa"/>
            <w:left w:w="108" w:type="dxa"/>
            <w:bottom w:w="0" w:type="dxa"/>
            <w:right w:w="108" w:type="dxa"/>
          </w:tblCellMar>
        </w:tblPrEx>
        <w:trPr>
          <w:trHeight w:val="285" w:hRule="atLeast"/>
          <w:jc w:val="center"/>
        </w:trPr>
        <w:tc>
          <w:tcPr>
            <w:tcW w:w="9034" w:type="dxa"/>
            <w:gridSpan w:val="5"/>
            <w:tcBorders>
              <w:top w:val="single" w:color="888E93" w:sz="8" w:space="0"/>
              <w:left w:val="single" w:color="474747" w:sz="8" w:space="0"/>
              <w:bottom w:val="single" w:color="474747" w:sz="8" w:space="0"/>
              <w:right w:val="single" w:color="474747" w:sz="8" w:space="0"/>
            </w:tcBorders>
            <w:shd w:val="clear" w:color="auto" w:fill="FFFFFF"/>
            <w:vAlign w:val="center"/>
          </w:tcPr>
          <w:p>
            <w:pPr>
              <w:spacing w:line="300" w:lineRule="exact"/>
              <w:ind w:firstLine="560"/>
              <w:rPr>
                <w:sz w:val="28"/>
                <w:szCs w:val="28"/>
              </w:rPr>
            </w:pPr>
            <w:r>
              <w:rPr>
                <w:rFonts w:hint="eastAsia"/>
                <w:sz w:val="28"/>
                <w:szCs w:val="28"/>
              </w:rPr>
              <w:t>四、灯光部分</w:t>
            </w:r>
          </w:p>
        </w:tc>
      </w:tr>
      <w:tr>
        <w:tblPrEx>
          <w:tblCellMar>
            <w:top w:w="0" w:type="dxa"/>
            <w:left w:w="108" w:type="dxa"/>
            <w:bottom w:w="0" w:type="dxa"/>
            <w:right w:w="108" w:type="dxa"/>
          </w:tblCellMar>
        </w:tblPrEx>
        <w:trPr>
          <w:trHeight w:val="285" w:hRule="atLeast"/>
          <w:jc w:val="center"/>
        </w:trPr>
        <w:tc>
          <w:tcPr>
            <w:tcW w:w="917" w:type="dxa"/>
            <w:tcBorders>
              <w:top w:val="single" w:color="474747"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序号</w:t>
            </w:r>
          </w:p>
        </w:tc>
        <w:tc>
          <w:tcPr>
            <w:tcW w:w="2391" w:type="dxa"/>
            <w:tcBorders>
              <w:top w:val="single" w:color="474747"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器材名称</w:t>
            </w:r>
          </w:p>
        </w:tc>
        <w:tc>
          <w:tcPr>
            <w:tcW w:w="2139" w:type="dxa"/>
            <w:tcBorders>
              <w:top w:val="single" w:color="474747"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规格/型号</w:t>
            </w:r>
          </w:p>
        </w:tc>
        <w:tc>
          <w:tcPr>
            <w:tcW w:w="2320" w:type="dxa"/>
            <w:tcBorders>
              <w:top w:val="single" w:color="474747"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耗材/单位</w:t>
            </w:r>
          </w:p>
        </w:tc>
        <w:tc>
          <w:tcPr>
            <w:tcW w:w="1267" w:type="dxa"/>
            <w:tcBorders>
              <w:top w:val="single" w:color="474747"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数量</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电脑光束灯</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8</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2</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追光灯</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3</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T型侧光架</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4</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染色LED灯</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12</w:t>
            </w:r>
          </w:p>
        </w:tc>
      </w:tr>
      <w:tr>
        <w:tblPrEx>
          <w:tblCellMar>
            <w:top w:w="0" w:type="dxa"/>
            <w:left w:w="108" w:type="dxa"/>
            <w:bottom w:w="0" w:type="dxa"/>
            <w:right w:w="108" w:type="dxa"/>
          </w:tblCellMar>
        </w:tblPrEx>
        <w:trPr>
          <w:trHeight w:val="270" w:hRule="atLeast"/>
          <w:jc w:val="center"/>
        </w:trPr>
        <w:tc>
          <w:tcPr>
            <w:tcW w:w="9034" w:type="dxa"/>
            <w:gridSpan w:val="5"/>
            <w:tcBorders>
              <w:top w:val="single" w:color="888E93" w:sz="8" w:space="0"/>
              <w:left w:val="single" w:color="474747" w:sz="8" w:space="0"/>
              <w:bottom w:val="single" w:color="888E93" w:sz="8" w:space="0"/>
              <w:right w:val="single" w:color="474747" w:sz="8" w:space="0"/>
            </w:tcBorders>
            <w:shd w:val="clear" w:color="auto" w:fill="FFFFFF"/>
            <w:vAlign w:val="center"/>
          </w:tcPr>
          <w:p>
            <w:pPr>
              <w:spacing w:line="300" w:lineRule="exact"/>
              <w:ind w:firstLine="560"/>
              <w:rPr>
                <w:sz w:val="28"/>
                <w:szCs w:val="28"/>
              </w:rPr>
            </w:pPr>
            <w:r>
              <w:rPr>
                <w:rFonts w:hint="eastAsia"/>
                <w:sz w:val="28"/>
                <w:szCs w:val="28"/>
              </w:rPr>
              <w:t>五、其他物料</w:t>
            </w:r>
          </w:p>
        </w:tc>
      </w:tr>
      <w:tr>
        <w:tblPrEx>
          <w:tblCellMar>
            <w:top w:w="0" w:type="dxa"/>
            <w:left w:w="108" w:type="dxa"/>
            <w:bottom w:w="0" w:type="dxa"/>
            <w:right w:w="108" w:type="dxa"/>
          </w:tblCellMar>
        </w:tblPrEx>
        <w:trPr>
          <w:trHeight w:val="27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序号</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物料名称</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规格/型号</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耗材/单位</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单位</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大门外主题桁架</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3*3m*2张</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普通喷绘布</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24.5</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2</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流程单</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成品A4折页</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250g铜版纸双面彩印</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300</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3</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椅背贴</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20*10cm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背胶车贴</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280</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4</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三折页座牌</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20*10cm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250g铜版纸彩印</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44</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5</w:t>
            </w:r>
          </w:p>
        </w:tc>
        <w:tc>
          <w:tcPr>
            <w:tcW w:w="2391" w:type="dxa"/>
            <w:vMerge w:val="restart"/>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打卡装置</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jc w:val="left"/>
              <w:rPr>
                <w:sz w:val="28"/>
                <w:szCs w:val="28"/>
              </w:rPr>
            </w:pPr>
            <w:r>
              <w:rPr>
                <w:rFonts w:hint="eastAsia"/>
                <w:sz w:val="28"/>
                <w:szCs w:val="28"/>
              </w:rPr>
              <w:t>背景板1:3*2*1m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钢架+高精度黑白布喷绘</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6</w:t>
            </w:r>
          </w:p>
        </w:tc>
        <w:tc>
          <w:tcPr>
            <w:tcW w:w="2391"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jc w:val="left"/>
              <w:rPr>
                <w:sz w:val="28"/>
                <w:szCs w:val="28"/>
              </w:rPr>
            </w:pPr>
            <w:r>
              <w:rPr>
                <w:rFonts w:hint="eastAsia"/>
                <w:sz w:val="28"/>
                <w:szCs w:val="28"/>
              </w:rPr>
              <w:t>信封装置：2*1.87*0.4m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户外写真裱超卡板</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5.34</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7</w:t>
            </w:r>
          </w:p>
        </w:tc>
        <w:tc>
          <w:tcPr>
            <w:tcW w:w="2391"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三角形，2*1.2m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2cmPVC彩印</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2.4</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8</w:t>
            </w:r>
          </w:p>
        </w:tc>
        <w:tc>
          <w:tcPr>
            <w:tcW w:w="2391"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LOG圆,30cm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1cmPVC彩印</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9</w:t>
            </w:r>
          </w:p>
        </w:tc>
        <w:tc>
          <w:tcPr>
            <w:tcW w:w="2391"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jc w:val="left"/>
              <w:rPr>
                <w:sz w:val="28"/>
                <w:szCs w:val="28"/>
              </w:rPr>
            </w:pPr>
            <w:r>
              <w:rPr>
                <w:rFonts w:hint="eastAsia"/>
                <w:sz w:val="28"/>
                <w:szCs w:val="28"/>
              </w:rPr>
              <w:t>方盒子：50*50*50cm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户外写真裱超卡板</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10</w:t>
            </w:r>
          </w:p>
        </w:tc>
        <w:tc>
          <w:tcPr>
            <w:tcW w:w="2391"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jc w:val="left"/>
              <w:rPr>
                <w:sz w:val="28"/>
                <w:szCs w:val="28"/>
              </w:rPr>
            </w:pPr>
            <w:r>
              <w:rPr>
                <w:rFonts w:hint="eastAsia"/>
                <w:sz w:val="28"/>
                <w:szCs w:val="28"/>
              </w:rPr>
              <w:t>方盒子：40*40*40cm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户外写真裱超卡板</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11</w:t>
            </w:r>
          </w:p>
        </w:tc>
        <w:tc>
          <w:tcPr>
            <w:tcW w:w="2391"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jc w:val="left"/>
              <w:rPr>
                <w:sz w:val="28"/>
                <w:szCs w:val="28"/>
              </w:rPr>
            </w:pPr>
            <w:r>
              <w:rPr>
                <w:rFonts w:hint="eastAsia"/>
                <w:sz w:val="28"/>
                <w:szCs w:val="28"/>
              </w:rPr>
              <w:t>方盒子：30*30*30cm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户外写真裱超卡板</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474747"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12</w:t>
            </w:r>
          </w:p>
        </w:tc>
        <w:tc>
          <w:tcPr>
            <w:tcW w:w="2391" w:type="dxa"/>
            <w:tcBorders>
              <w:top w:val="single" w:color="888E93" w:sz="8" w:space="0"/>
              <w:left w:val="single" w:color="888E93" w:sz="8" w:space="0"/>
              <w:bottom w:val="single" w:color="474747"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手拍板</w:t>
            </w:r>
          </w:p>
        </w:tc>
        <w:tc>
          <w:tcPr>
            <w:tcW w:w="2139" w:type="dxa"/>
            <w:tcBorders>
              <w:top w:val="single" w:color="888E93" w:sz="8" w:space="0"/>
              <w:left w:val="single" w:color="888E93" w:sz="8" w:space="0"/>
              <w:bottom w:val="single" w:color="474747" w:sz="8" w:space="0"/>
              <w:right w:val="single" w:color="888E93" w:sz="8" w:space="0"/>
            </w:tcBorders>
            <w:shd w:val="clear" w:color="auto" w:fill="FFFFFF"/>
            <w:vAlign w:val="center"/>
          </w:tcPr>
          <w:p>
            <w:pPr>
              <w:spacing w:line="300" w:lineRule="exact"/>
              <w:ind w:firstLine="560"/>
              <w:rPr>
                <w:sz w:val="28"/>
                <w:szCs w:val="28"/>
              </w:rPr>
            </w:pPr>
          </w:p>
        </w:tc>
        <w:tc>
          <w:tcPr>
            <w:tcW w:w="2320" w:type="dxa"/>
            <w:tcBorders>
              <w:top w:val="single" w:color="888E93" w:sz="8" w:space="0"/>
              <w:left w:val="single" w:color="888E93" w:sz="8" w:space="0"/>
              <w:bottom w:val="single" w:color="474747"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474747"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300</w:t>
            </w:r>
          </w:p>
        </w:tc>
      </w:tr>
      <w:tr>
        <w:tblPrEx>
          <w:tblCellMar>
            <w:top w:w="0" w:type="dxa"/>
            <w:left w:w="108" w:type="dxa"/>
            <w:bottom w:w="0" w:type="dxa"/>
            <w:right w:w="108" w:type="dxa"/>
          </w:tblCellMar>
        </w:tblPrEx>
        <w:trPr>
          <w:trHeight w:val="360" w:hRule="atLeast"/>
          <w:jc w:val="center"/>
        </w:trPr>
        <w:tc>
          <w:tcPr>
            <w:tcW w:w="917" w:type="dxa"/>
            <w:tcBorders>
              <w:top w:val="single" w:color="474747"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13</w:t>
            </w:r>
          </w:p>
        </w:tc>
        <w:tc>
          <w:tcPr>
            <w:tcW w:w="2391" w:type="dxa"/>
            <w:tcBorders>
              <w:top w:val="single" w:color="474747"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手举牌</w:t>
            </w:r>
          </w:p>
        </w:tc>
        <w:tc>
          <w:tcPr>
            <w:tcW w:w="2139" w:type="dxa"/>
            <w:tcBorders>
              <w:top w:val="single" w:color="474747"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9*14cm</w:t>
            </w:r>
          </w:p>
        </w:tc>
        <w:tc>
          <w:tcPr>
            <w:tcW w:w="2320" w:type="dxa"/>
            <w:tcBorders>
              <w:top w:val="single" w:color="474747"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474747"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15</w:t>
            </w:r>
          </w:p>
        </w:tc>
      </w:tr>
      <w:tr>
        <w:tblPrEx>
          <w:tblCellMar>
            <w:top w:w="0" w:type="dxa"/>
            <w:left w:w="108" w:type="dxa"/>
            <w:bottom w:w="0" w:type="dxa"/>
            <w:right w:w="108" w:type="dxa"/>
          </w:tblCellMar>
        </w:tblPrEx>
        <w:trPr>
          <w:trHeight w:val="55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14</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桌布</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绿色金丝绒桌布1.83*0.46m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25</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15</w:t>
            </w:r>
          </w:p>
        </w:tc>
        <w:tc>
          <w:tcPr>
            <w:tcW w:w="2391" w:type="dxa"/>
            <w:vMerge w:val="restart"/>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大合影墙</w:t>
            </w:r>
          </w:p>
        </w:tc>
        <w:tc>
          <w:tcPr>
            <w:tcW w:w="2139" w:type="dxa"/>
            <w:vMerge w:val="restart"/>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8*4m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钢架</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44</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16</w:t>
            </w:r>
          </w:p>
        </w:tc>
        <w:tc>
          <w:tcPr>
            <w:tcW w:w="2391"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139" w:type="dxa"/>
            <w:vMerge w:val="continue"/>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高精度黑白布喷绘，宽幅</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56</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17</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合影梯步</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8.4m三步梯+灰色地毯</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木结构底座</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7</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18</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打卡合影装置</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2.4*0.8m/个</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w:t>
            </w:r>
          </w:p>
        </w:tc>
      </w:tr>
      <w:tr>
        <w:tblPrEx>
          <w:tblCellMar>
            <w:top w:w="0" w:type="dxa"/>
            <w:left w:w="108" w:type="dxa"/>
            <w:bottom w:w="0" w:type="dxa"/>
            <w:right w:w="108" w:type="dxa"/>
          </w:tblCellMar>
        </w:tblPrEx>
        <w:trPr>
          <w:trHeight w:val="360"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19</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IP装置</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高145cm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56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2</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20</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优秀毕业生展板</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6*3m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普通喷绘布</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21</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毕业生签名墙</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6*3m</w:t>
            </w: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普通喷绘布</w:t>
            </w: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w:t>
            </w:r>
          </w:p>
        </w:tc>
      </w:tr>
      <w:tr>
        <w:tblPrEx>
          <w:tblCellMar>
            <w:top w:w="0" w:type="dxa"/>
            <w:left w:w="108" w:type="dxa"/>
            <w:bottom w:w="0" w:type="dxa"/>
            <w:right w:w="108" w:type="dxa"/>
          </w:tblCellMar>
        </w:tblPrEx>
        <w:trPr>
          <w:trHeight w:val="285" w:hRule="atLeast"/>
          <w:jc w:val="center"/>
        </w:trPr>
        <w:tc>
          <w:tcPr>
            <w:tcW w:w="917" w:type="dxa"/>
            <w:tcBorders>
              <w:top w:val="single" w:color="888E93" w:sz="8" w:space="0"/>
              <w:left w:val="single" w:color="474747" w:sz="8" w:space="0"/>
              <w:bottom w:val="single" w:color="888E93" w:sz="8" w:space="0"/>
              <w:right w:val="single" w:color="888E93" w:sz="8" w:space="0"/>
            </w:tcBorders>
            <w:shd w:val="clear" w:color="auto" w:fill="FFFFFF"/>
            <w:vAlign w:val="center"/>
          </w:tcPr>
          <w:p>
            <w:pPr>
              <w:spacing w:line="240" w:lineRule="auto"/>
              <w:ind w:firstLine="0" w:firstLineChars="0"/>
              <w:rPr>
                <w:sz w:val="28"/>
                <w:szCs w:val="28"/>
              </w:rPr>
            </w:pPr>
            <w:r>
              <w:rPr>
                <w:rFonts w:hint="eastAsia"/>
                <w:sz w:val="28"/>
                <w:szCs w:val="28"/>
              </w:rPr>
              <w:t>22</w:t>
            </w:r>
          </w:p>
        </w:tc>
        <w:tc>
          <w:tcPr>
            <w:tcW w:w="2391"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制定毕业典礼活动组织策划方案</w:t>
            </w:r>
          </w:p>
        </w:tc>
        <w:tc>
          <w:tcPr>
            <w:tcW w:w="2139"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p>
        </w:tc>
        <w:tc>
          <w:tcPr>
            <w:tcW w:w="2320"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p>
        </w:tc>
        <w:tc>
          <w:tcPr>
            <w:tcW w:w="1267" w:type="dxa"/>
            <w:tcBorders>
              <w:top w:val="single" w:color="888E93" w:sz="8" w:space="0"/>
              <w:left w:val="single" w:color="888E93" w:sz="8" w:space="0"/>
              <w:bottom w:val="single" w:color="888E93" w:sz="8" w:space="0"/>
              <w:right w:val="single" w:color="888E93" w:sz="8" w:space="0"/>
            </w:tcBorders>
            <w:shd w:val="clear" w:color="auto" w:fill="FFFFFF"/>
            <w:vAlign w:val="center"/>
          </w:tcPr>
          <w:p>
            <w:pPr>
              <w:spacing w:line="300" w:lineRule="exact"/>
              <w:ind w:firstLine="0" w:firstLineChars="0"/>
              <w:rPr>
                <w:sz w:val="28"/>
                <w:szCs w:val="28"/>
              </w:rPr>
            </w:pPr>
            <w:r>
              <w:rPr>
                <w:rFonts w:hint="eastAsia"/>
                <w:sz w:val="28"/>
                <w:szCs w:val="28"/>
              </w:rPr>
              <w:t>1</w:t>
            </w:r>
          </w:p>
        </w:tc>
      </w:tr>
    </w:tbl>
    <w:p>
      <w:pPr>
        <w:rPr>
          <w:rFonts w:hint="eastAsia"/>
        </w:rPr>
      </w:pPr>
    </w:p>
    <w:p>
      <w:pPr>
        <w:tabs>
          <w:tab w:val="left" w:pos="2332"/>
        </w:tabs>
        <w:rPr>
          <w:rFonts w:hint="eastAsia" w:ascii="宋体" w:hAnsi="宋体" w:eastAsia="宋体" w:cs="宋体"/>
          <w:lang w:eastAsia="zh-CN"/>
        </w:rPr>
      </w:pPr>
      <w:bookmarkStart w:id="66" w:name="_Toc28327"/>
      <w:bookmarkStart w:id="67" w:name="_Toc485108787"/>
      <w:r>
        <w:rPr>
          <w:rFonts w:hint="eastAsia" w:ascii="宋体" w:hAnsi="宋体" w:eastAsia="宋体" w:cs="宋体"/>
          <w:lang w:eastAsia="zh-CN"/>
        </w:rPr>
        <w:tab/>
      </w: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rPr>
          <w:rFonts w:hint="eastAsia" w:ascii="宋体" w:hAnsi="宋体" w:eastAsia="宋体" w:cs="宋体"/>
          <w:lang w:eastAsia="zh-CN"/>
        </w:rPr>
      </w:pPr>
    </w:p>
    <w:p>
      <w:pPr>
        <w:tabs>
          <w:tab w:val="left" w:pos="2332"/>
        </w:tabs>
        <w:jc w:val="center"/>
        <w:rPr>
          <w:rFonts w:hint="eastAsia" w:ascii="宋体" w:hAnsi="宋体" w:eastAsia="宋体" w:cs="宋体"/>
          <w:b/>
          <w:color w:val="auto"/>
          <w:sz w:val="44"/>
          <w:szCs w:val="44"/>
        </w:rPr>
      </w:pPr>
      <w:r>
        <w:rPr>
          <w:rFonts w:hint="eastAsia" w:ascii="宋体" w:hAnsi="宋体" w:eastAsia="宋体" w:cs="宋体"/>
          <w:b/>
          <w:color w:val="auto"/>
          <w:sz w:val="36"/>
          <w:szCs w:val="36"/>
        </w:rPr>
        <w:t>第四篇  项目商务需求</w:t>
      </w:r>
      <w:bookmarkEnd w:id="65"/>
      <w:bookmarkEnd w:id="66"/>
      <w:bookmarkEnd w:id="67"/>
      <w:bookmarkStart w:id="68" w:name="_Toc12789059"/>
      <w:bookmarkStart w:id="69" w:name="_Toc11641055"/>
    </w:p>
    <w:p>
      <w:pPr>
        <w:pStyle w:val="3"/>
        <w:spacing w:line="240" w:lineRule="auto"/>
        <w:rPr>
          <w:rFonts w:hint="eastAsia" w:ascii="宋体" w:hAnsi="宋体" w:eastAsia="宋体" w:cs="宋体"/>
          <w:color w:val="auto"/>
          <w:sz w:val="24"/>
          <w:szCs w:val="24"/>
          <w:lang w:val="en-US" w:eastAsia="zh-CN"/>
        </w:rPr>
      </w:pPr>
      <w:bookmarkStart w:id="70" w:name="_Toc11645"/>
      <w:bookmarkStart w:id="71" w:name="_Toc485108793"/>
      <w:bookmarkStart w:id="72" w:name="_Toc403569795"/>
      <w:bookmarkStart w:id="73" w:name="_Toc7358"/>
      <w:r>
        <w:rPr>
          <w:rFonts w:hint="eastAsia" w:ascii="宋体" w:hAnsi="宋体" w:eastAsia="宋体" w:cs="宋体"/>
          <w:color w:val="auto"/>
          <w:sz w:val="24"/>
          <w:szCs w:val="24"/>
          <w:lang w:val="en-US" w:eastAsia="zh-CN"/>
        </w:rPr>
        <w:t>一、商务需求</w:t>
      </w:r>
    </w:p>
    <w:p>
      <w:pPr>
        <w:spacing w:line="39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rPr>
        <w:t>、项目完成时间：</w:t>
      </w:r>
      <w:r>
        <w:rPr>
          <w:rFonts w:hint="eastAsia" w:ascii="宋体" w:hAnsi="宋体" w:eastAsia="宋体" w:cs="宋体"/>
          <w:color w:val="FF0000"/>
          <w:sz w:val="24"/>
          <w:szCs w:val="24"/>
          <w:lang w:eastAsia="zh-CN"/>
        </w:rPr>
        <w:t>根据采购方要求，完成相应工作。</w:t>
      </w:r>
    </w:p>
    <w:p>
      <w:pPr>
        <w:spacing w:line="390" w:lineRule="exact"/>
        <w:ind w:firstLine="480" w:firstLineChars="200"/>
        <w:rPr>
          <w:rFonts w:hint="eastAsia" w:ascii="宋体" w:hAnsi="宋体" w:eastAsia="宋体" w:cs="宋体"/>
          <w:color w:val="FF0000"/>
          <w:sz w:val="24"/>
          <w:szCs w:val="24"/>
        </w:rPr>
      </w:pPr>
      <w:bookmarkStart w:id="161" w:name="_GoBack"/>
      <w:bookmarkEnd w:id="161"/>
      <w:r>
        <w:rPr>
          <w:rFonts w:hint="eastAsia" w:ascii="宋体" w:hAnsi="宋体" w:eastAsia="宋体" w:cs="宋体"/>
          <w:color w:val="FF0000"/>
          <w:sz w:val="24"/>
          <w:szCs w:val="24"/>
          <w:lang w:val="en-US" w:eastAsia="zh-CN"/>
        </w:rPr>
        <w:t>2</w:t>
      </w:r>
      <w:r>
        <w:rPr>
          <w:rFonts w:hint="eastAsia" w:ascii="宋体" w:hAnsi="宋体" w:eastAsia="宋体" w:cs="宋体"/>
          <w:color w:val="FF0000"/>
          <w:sz w:val="24"/>
          <w:szCs w:val="24"/>
        </w:rPr>
        <w:t>、验收方式：毕业典礼顺利完成，经采购方签字确认。</w:t>
      </w:r>
    </w:p>
    <w:p>
      <w:pPr>
        <w:spacing w:line="39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3</w:t>
      </w:r>
      <w:r>
        <w:rPr>
          <w:rFonts w:hint="eastAsia" w:ascii="宋体" w:hAnsi="宋体" w:eastAsia="宋体" w:cs="宋体"/>
          <w:color w:val="FF0000"/>
          <w:sz w:val="24"/>
          <w:szCs w:val="24"/>
        </w:rPr>
        <w:t>、付款方式：服务方提供合法发票，经采购方审核无误后 60日内支付。</w:t>
      </w:r>
    </w:p>
    <w:p>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、知识产权</w:t>
      </w:r>
      <w:bookmarkEnd w:id="70"/>
    </w:p>
    <w:p>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（注：若涉及软件开发等服务类项目知识产权的，知识产权归采购人所有）。</w:t>
      </w:r>
    </w:p>
    <w:p>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、其他</w:t>
      </w:r>
      <w:bookmarkEnd w:id="71"/>
      <w:bookmarkEnd w:id="72"/>
      <w:bookmarkEnd w:id="73"/>
    </w:p>
    <w:p>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（二）其他未尽事宜由供需双方在采购合同中详细约定。</w:t>
      </w:r>
    </w:p>
    <w:p>
      <w:pPr>
        <w:pStyle w:val="2"/>
        <w:jc w:val="center"/>
        <w:rPr>
          <w:rFonts w:hint="eastAsia" w:ascii="宋体" w:hAnsi="宋体" w:eastAsia="宋体" w:cs="宋体"/>
          <w:color w:val="auto"/>
          <w:sz w:val="44"/>
          <w:szCs w:val="44"/>
        </w:rPr>
      </w:pPr>
      <w:r>
        <w:rPr>
          <w:rFonts w:hint="eastAsia" w:ascii="宋体" w:hAnsi="宋体" w:eastAsia="宋体" w:cs="宋体"/>
          <w:b/>
          <w:color w:val="auto"/>
        </w:rPr>
        <w:br w:type="page"/>
      </w:r>
      <w:bookmarkEnd w:id="68"/>
      <w:bookmarkEnd w:id="69"/>
      <w:bookmarkStart w:id="74" w:name="_Toc14840"/>
      <w:bookmarkStart w:id="75" w:name="_Toc403569796"/>
      <w:bookmarkStart w:id="76" w:name="_Toc485108794"/>
      <w:bookmarkStart w:id="77" w:name="_Toc303945820"/>
      <w:bookmarkStart w:id="78" w:name="_Toc148265480"/>
      <w:r>
        <w:rPr>
          <w:rFonts w:hint="eastAsia" w:ascii="宋体" w:hAnsi="宋体" w:eastAsia="宋体" w:cs="宋体"/>
          <w:b/>
          <w:color w:val="auto"/>
          <w:sz w:val="36"/>
          <w:szCs w:val="36"/>
        </w:rPr>
        <w:t>第五篇  合同草案条款</w:t>
      </w:r>
      <w:bookmarkEnd w:id="74"/>
      <w:bookmarkEnd w:id="75"/>
      <w:bookmarkEnd w:id="76"/>
    </w:p>
    <w:p>
      <w:pPr>
        <w:pStyle w:val="3"/>
        <w:spacing w:line="240" w:lineRule="auto"/>
        <w:rPr>
          <w:rFonts w:hint="eastAsia" w:ascii="宋体" w:hAnsi="宋体" w:eastAsia="宋体" w:cs="宋体"/>
          <w:color w:val="auto"/>
          <w:sz w:val="24"/>
          <w:szCs w:val="24"/>
        </w:rPr>
      </w:pPr>
      <w:bookmarkStart w:id="79" w:name="_Toc30815"/>
      <w:bookmarkStart w:id="80" w:name="_Toc54718202"/>
      <w:r>
        <w:rPr>
          <w:rFonts w:hint="eastAsia" w:ascii="宋体" w:hAnsi="宋体" w:eastAsia="宋体" w:cs="宋体"/>
          <w:color w:val="auto"/>
          <w:sz w:val="24"/>
          <w:szCs w:val="24"/>
        </w:rPr>
        <w:t>一、定义</w:t>
      </w:r>
      <w:bookmarkEnd w:id="79"/>
      <w:bookmarkEnd w:id="80"/>
    </w:p>
    <w:p>
      <w:pPr>
        <w:snapToGrid w:val="0"/>
        <w:spacing w:line="400" w:lineRule="exact"/>
        <w:ind w:firstLine="480" w:firstLineChars="200"/>
        <w:jc w:val="left"/>
        <w:rPr>
          <w:rFonts w:hint="eastAsia" w:ascii="宋体" w:hAnsi="宋体" w:eastAsia="宋体" w:cs="宋体"/>
          <w:color w:val="auto"/>
          <w:sz w:val="24"/>
          <w:szCs w:val="24"/>
        </w:rPr>
      </w:pPr>
      <w:bookmarkStart w:id="81" w:name="_Toc988"/>
      <w:r>
        <w:rPr>
          <w:rFonts w:hint="eastAsia" w:ascii="宋体" w:hAnsi="宋体" w:eastAsia="宋体" w:cs="宋体"/>
          <w:color w:val="auto"/>
          <w:sz w:val="24"/>
          <w:szCs w:val="24"/>
        </w:rPr>
        <w:t>（一）甲方（需方）即重庆医科大学附属永川医院。</w:t>
      </w:r>
      <w:bookmarkEnd w:id="81"/>
    </w:p>
    <w:p>
      <w:pPr>
        <w:snapToGrid w:val="0"/>
        <w:spacing w:line="400" w:lineRule="exact"/>
        <w:ind w:firstLine="480" w:firstLineChars="200"/>
        <w:jc w:val="left"/>
        <w:rPr>
          <w:rFonts w:hint="eastAsia" w:ascii="宋体" w:hAnsi="宋体" w:eastAsia="宋体" w:cs="宋体"/>
          <w:color w:val="auto"/>
          <w:sz w:val="24"/>
          <w:szCs w:val="24"/>
        </w:rPr>
      </w:pPr>
      <w:bookmarkStart w:id="82" w:name="_Toc22662"/>
      <w:r>
        <w:rPr>
          <w:rFonts w:hint="eastAsia" w:ascii="宋体" w:hAnsi="宋体" w:eastAsia="宋体" w:cs="宋体"/>
          <w:color w:val="auto"/>
          <w:sz w:val="24"/>
          <w:szCs w:val="24"/>
        </w:rPr>
        <w:t>（二）乙方（供方）即成交供应商，是指成交后提供合同服务的自然人、法人及其他组织。</w:t>
      </w:r>
      <w:bookmarkEnd w:id="82"/>
    </w:p>
    <w:p>
      <w:pPr>
        <w:snapToGrid w:val="0"/>
        <w:spacing w:line="400" w:lineRule="exact"/>
        <w:ind w:firstLine="480" w:firstLineChars="200"/>
        <w:jc w:val="left"/>
        <w:rPr>
          <w:rFonts w:hint="eastAsia" w:ascii="宋体" w:hAnsi="宋体" w:eastAsia="宋体" w:cs="宋体"/>
          <w:color w:val="auto"/>
          <w:sz w:val="24"/>
          <w:szCs w:val="24"/>
        </w:rPr>
      </w:pPr>
      <w:bookmarkStart w:id="83" w:name="_Toc30025"/>
      <w:r>
        <w:rPr>
          <w:rFonts w:hint="eastAsia" w:ascii="宋体" w:hAnsi="宋体" w:eastAsia="宋体" w:cs="宋体"/>
          <w:color w:val="auto"/>
          <w:sz w:val="24"/>
          <w:szCs w:val="24"/>
        </w:rPr>
        <w:t>（三）合同是指由甲乙双方按照比选文件和响应文件的实质性内容，通过协商一致达成的书面协议。</w:t>
      </w:r>
      <w:bookmarkEnd w:id="83"/>
    </w:p>
    <w:p>
      <w:pPr>
        <w:snapToGrid w:val="0"/>
        <w:spacing w:line="400" w:lineRule="exact"/>
        <w:ind w:firstLine="480" w:firstLineChars="200"/>
        <w:jc w:val="left"/>
        <w:rPr>
          <w:rFonts w:hint="eastAsia" w:ascii="宋体" w:hAnsi="宋体" w:eastAsia="宋体" w:cs="宋体"/>
          <w:color w:val="auto"/>
          <w:sz w:val="24"/>
          <w:szCs w:val="24"/>
        </w:rPr>
      </w:pPr>
      <w:bookmarkStart w:id="84" w:name="_Toc2152"/>
      <w:r>
        <w:rPr>
          <w:rFonts w:hint="eastAsia" w:ascii="宋体" w:hAnsi="宋体" w:eastAsia="宋体" w:cs="宋体"/>
          <w:color w:val="auto"/>
          <w:sz w:val="24"/>
          <w:szCs w:val="24"/>
        </w:rPr>
        <w:t>（四）合同价格指以成交价格为依据，在供方全面履行合同义务后，需方应支付给供方的金额。</w:t>
      </w:r>
      <w:bookmarkEnd w:id="84"/>
    </w:p>
    <w:p>
      <w:pPr>
        <w:snapToGrid w:val="0"/>
        <w:spacing w:line="400" w:lineRule="exact"/>
        <w:ind w:firstLine="480" w:firstLineChars="200"/>
        <w:jc w:val="left"/>
        <w:rPr>
          <w:rFonts w:hint="eastAsia" w:ascii="宋体" w:hAnsi="宋体" w:eastAsia="宋体" w:cs="宋体"/>
          <w:color w:val="auto"/>
          <w:sz w:val="24"/>
          <w:szCs w:val="24"/>
        </w:rPr>
      </w:pPr>
      <w:bookmarkStart w:id="85" w:name="_Toc9666"/>
      <w:r>
        <w:rPr>
          <w:rFonts w:hint="eastAsia" w:ascii="宋体" w:hAnsi="宋体" w:eastAsia="宋体" w:cs="宋体"/>
          <w:color w:val="auto"/>
          <w:sz w:val="24"/>
          <w:szCs w:val="24"/>
        </w:rPr>
        <w:t>（五）技术资料是指合同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及其相关的设计、制造、监造、检验、验收等文件（包括图纸、各种文字说明、标准）。</w:t>
      </w:r>
      <w:bookmarkEnd w:id="85"/>
    </w:p>
    <w:p>
      <w:pPr>
        <w:pStyle w:val="3"/>
        <w:spacing w:line="240" w:lineRule="auto"/>
        <w:rPr>
          <w:rFonts w:hint="eastAsia" w:ascii="宋体" w:hAnsi="宋体" w:eastAsia="宋体" w:cs="宋体"/>
          <w:color w:val="auto"/>
          <w:sz w:val="24"/>
          <w:szCs w:val="24"/>
        </w:rPr>
      </w:pPr>
      <w:bookmarkStart w:id="86" w:name="_Toc54718203"/>
      <w:bookmarkStart w:id="87" w:name="_Toc17879"/>
      <w:r>
        <w:rPr>
          <w:rFonts w:hint="eastAsia" w:ascii="宋体" w:hAnsi="宋体" w:eastAsia="宋体" w:cs="宋体"/>
          <w:color w:val="auto"/>
          <w:sz w:val="24"/>
          <w:szCs w:val="24"/>
        </w:rPr>
        <w:t>二、</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内容</w:t>
      </w:r>
      <w:bookmarkEnd w:id="86"/>
      <w:bookmarkEnd w:id="87"/>
    </w:p>
    <w:p>
      <w:pPr>
        <w:snapToGrid w:val="0"/>
        <w:spacing w:line="400" w:lineRule="exact"/>
        <w:ind w:firstLine="480" w:firstLineChars="200"/>
        <w:jc w:val="left"/>
        <w:rPr>
          <w:rFonts w:hint="eastAsia" w:ascii="宋体" w:hAnsi="宋体" w:eastAsia="宋体" w:cs="宋体"/>
          <w:color w:val="auto"/>
          <w:sz w:val="24"/>
          <w:szCs w:val="24"/>
        </w:rPr>
      </w:pPr>
      <w:bookmarkStart w:id="88" w:name="_Toc28967"/>
      <w:r>
        <w:rPr>
          <w:rFonts w:hint="eastAsia" w:ascii="宋体" w:hAnsi="宋体" w:eastAsia="宋体" w:cs="宋体"/>
          <w:color w:val="auto"/>
          <w:sz w:val="24"/>
          <w:szCs w:val="24"/>
        </w:rPr>
        <w:t>合同包括以下内容：</w:t>
      </w:r>
      <w:bookmarkEnd w:id="88"/>
      <w:r>
        <w:rPr>
          <w:rFonts w:hint="eastAsia" w:ascii="宋体" w:hAnsi="宋体" w:eastAsia="宋体" w:cs="宋体"/>
          <w:color w:val="auto"/>
          <w:sz w:val="24"/>
          <w:szCs w:val="24"/>
          <w:lang w:eastAsia="zh-CN"/>
        </w:rPr>
        <w:t>货物内容、</w:t>
      </w:r>
      <w:r>
        <w:rPr>
          <w:rFonts w:hint="eastAsia" w:ascii="宋体" w:hAnsi="宋体" w:eastAsia="宋体" w:cs="宋体"/>
          <w:b w:val="0"/>
          <w:color w:val="auto"/>
          <w:kern w:val="2"/>
          <w:sz w:val="24"/>
          <w:szCs w:val="24"/>
          <w:lang w:val="en-US" w:eastAsia="zh-CN" w:bidi="ar-SA"/>
        </w:rPr>
        <w:t>服务内容、服务要求、双方权利及义务</w:t>
      </w:r>
      <w:r>
        <w:rPr>
          <w:rFonts w:hint="eastAsia" w:ascii="宋体" w:hAnsi="宋体" w:eastAsia="宋体" w:cs="宋体"/>
          <w:color w:val="auto"/>
          <w:sz w:val="24"/>
          <w:szCs w:val="24"/>
        </w:rPr>
        <w:t>等内容。</w:t>
      </w:r>
    </w:p>
    <w:p>
      <w:pPr>
        <w:pStyle w:val="3"/>
        <w:spacing w:line="240" w:lineRule="auto"/>
        <w:rPr>
          <w:rFonts w:hint="eastAsia" w:ascii="宋体" w:hAnsi="宋体" w:eastAsia="宋体" w:cs="宋体"/>
          <w:color w:val="auto"/>
          <w:sz w:val="24"/>
          <w:szCs w:val="24"/>
        </w:rPr>
      </w:pPr>
      <w:bookmarkStart w:id="89" w:name="_Toc8853"/>
      <w:bookmarkStart w:id="90" w:name="_Toc54718204"/>
      <w:r>
        <w:rPr>
          <w:rFonts w:hint="eastAsia" w:ascii="宋体" w:hAnsi="宋体" w:eastAsia="宋体" w:cs="宋体"/>
          <w:color w:val="auto"/>
          <w:sz w:val="24"/>
          <w:szCs w:val="24"/>
        </w:rPr>
        <w:t>三、合同价格</w:t>
      </w:r>
      <w:bookmarkEnd w:id="89"/>
      <w:bookmarkEnd w:id="90"/>
    </w:p>
    <w:p>
      <w:pPr>
        <w:snapToGrid w:val="0"/>
        <w:spacing w:line="400" w:lineRule="exact"/>
        <w:ind w:firstLine="480" w:firstLineChars="200"/>
        <w:jc w:val="left"/>
        <w:rPr>
          <w:rFonts w:hint="eastAsia" w:ascii="宋体" w:hAnsi="宋体" w:eastAsia="宋体" w:cs="宋体"/>
          <w:color w:val="auto"/>
          <w:sz w:val="24"/>
          <w:szCs w:val="24"/>
        </w:rPr>
      </w:pPr>
      <w:bookmarkStart w:id="91" w:name="_Toc25177"/>
      <w:bookmarkStart w:id="92" w:name="_Toc54718205"/>
      <w:r>
        <w:rPr>
          <w:rFonts w:hint="eastAsia" w:ascii="宋体" w:hAnsi="宋体" w:eastAsia="宋体" w:cs="宋体"/>
          <w:color w:val="auto"/>
          <w:sz w:val="24"/>
          <w:szCs w:val="24"/>
        </w:rPr>
        <w:t>（一）合同价格即</w:t>
      </w:r>
      <w:r>
        <w:rPr>
          <w:rFonts w:hint="eastAsia" w:ascii="宋体" w:hAnsi="宋体" w:eastAsia="宋体" w:cs="宋体"/>
          <w:color w:val="auto"/>
          <w:sz w:val="24"/>
          <w:szCs w:val="24"/>
          <w:lang w:eastAsia="zh-CN"/>
        </w:rPr>
        <w:t>项目总价</w:t>
      </w:r>
      <w:r>
        <w:rPr>
          <w:rFonts w:hint="eastAsia" w:ascii="宋体" w:hAnsi="宋体" w:eastAsia="宋体" w:cs="宋体"/>
          <w:color w:val="auto"/>
          <w:sz w:val="24"/>
          <w:szCs w:val="24"/>
        </w:rPr>
        <w:t>。</w:t>
      </w:r>
      <w:bookmarkEnd w:id="91"/>
    </w:p>
    <w:p>
      <w:pPr>
        <w:snapToGrid w:val="0"/>
        <w:spacing w:line="400" w:lineRule="exact"/>
        <w:ind w:firstLine="480" w:firstLineChars="200"/>
        <w:jc w:val="left"/>
        <w:rPr>
          <w:rFonts w:hint="eastAsia" w:ascii="宋体" w:hAnsi="宋体" w:eastAsia="宋体" w:cs="宋体"/>
          <w:color w:val="auto"/>
          <w:sz w:val="24"/>
          <w:szCs w:val="24"/>
        </w:rPr>
      </w:pPr>
      <w:bookmarkStart w:id="93" w:name="_Toc3890"/>
      <w:r>
        <w:rPr>
          <w:rFonts w:hint="eastAsia" w:ascii="宋体" w:hAnsi="宋体" w:eastAsia="宋体" w:cs="宋体"/>
          <w:color w:val="auto"/>
          <w:sz w:val="24"/>
          <w:szCs w:val="24"/>
        </w:rPr>
        <w:t>（二）合同价格</w:t>
      </w:r>
      <w:r>
        <w:rPr>
          <w:rFonts w:hint="eastAsia" w:ascii="宋体" w:hAnsi="宋体" w:eastAsia="宋体" w:cs="宋体"/>
          <w:color w:val="auto"/>
          <w:kern w:val="0"/>
          <w:sz w:val="24"/>
          <w:szCs w:val="24"/>
        </w:rPr>
        <w:t>包含但不限于</w:t>
      </w:r>
      <w:r>
        <w:rPr>
          <w:rFonts w:hint="eastAsia" w:ascii="宋体" w:hAnsi="宋体" w:eastAsia="宋体" w:cs="宋体"/>
          <w:color w:val="auto"/>
          <w:kern w:val="0"/>
          <w:sz w:val="24"/>
          <w:szCs w:val="24"/>
          <w:lang w:eastAsia="zh-CN"/>
        </w:rPr>
        <w:t>拆旧费、</w:t>
      </w:r>
      <w:r>
        <w:rPr>
          <w:rFonts w:hint="eastAsia" w:ascii="宋体" w:hAnsi="宋体" w:eastAsia="宋体" w:cs="宋体"/>
          <w:color w:val="auto"/>
          <w:kern w:val="0"/>
          <w:sz w:val="24"/>
          <w:szCs w:val="24"/>
        </w:rPr>
        <w:t>货款、税费、运输费、保险费、安装费、调试费等各项费用</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所有税费由乙方负担。</w:t>
      </w:r>
      <w:bookmarkEnd w:id="93"/>
    </w:p>
    <w:p>
      <w:pPr>
        <w:pStyle w:val="3"/>
        <w:spacing w:line="240" w:lineRule="auto"/>
        <w:rPr>
          <w:rFonts w:hint="eastAsia" w:ascii="宋体" w:hAnsi="宋体" w:eastAsia="宋体" w:cs="宋体"/>
          <w:color w:val="auto"/>
          <w:sz w:val="24"/>
          <w:szCs w:val="24"/>
        </w:rPr>
      </w:pPr>
      <w:bookmarkStart w:id="94" w:name="_Toc24410"/>
      <w:r>
        <w:rPr>
          <w:rFonts w:hint="eastAsia" w:ascii="宋体" w:hAnsi="宋体" w:eastAsia="宋体" w:cs="宋体"/>
          <w:color w:val="auto"/>
          <w:sz w:val="24"/>
          <w:szCs w:val="24"/>
        </w:rPr>
        <w:t>四、转包或分包</w:t>
      </w:r>
      <w:bookmarkEnd w:id="92"/>
      <w:bookmarkEnd w:id="94"/>
    </w:p>
    <w:p>
      <w:pPr>
        <w:snapToGrid w:val="0"/>
        <w:spacing w:line="400" w:lineRule="exact"/>
        <w:ind w:firstLine="480" w:firstLineChars="200"/>
        <w:jc w:val="left"/>
        <w:rPr>
          <w:rFonts w:hint="eastAsia" w:ascii="宋体" w:hAnsi="宋体" w:eastAsia="宋体" w:cs="宋体"/>
          <w:color w:val="auto"/>
          <w:sz w:val="24"/>
          <w:szCs w:val="24"/>
        </w:rPr>
      </w:pPr>
      <w:bookmarkStart w:id="95" w:name="_Toc8161"/>
      <w:r>
        <w:rPr>
          <w:rFonts w:hint="eastAsia" w:ascii="宋体" w:hAnsi="宋体" w:eastAsia="宋体" w:cs="宋体"/>
          <w:color w:val="auto"/>
          <w:sz w:val="24"/>
          <w:szCs w:val="24"/>
        </w:rPr>
        <w:t>（一）本合同范围的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，应由乙方直接供应，不得转让他人供应；</w:t>
      </w:r>
      <w:bookmarkEnd w:id="95"/>
    </w:p>
    <w:p>
      <w:pPr>
        <w:snapToGrid w:val="0"/>
        <w:spacing w:line="400" w:lineRule="exact"/>
        <w:ind w:firstLine="480" w:firstLineChars="200"/>
        <w:jc w:val="left"/>
        <w:rPr>
          <w:rFonts w:hint="eastAsia" w:ascii="宋体" w:hAnsi="宋体" w:eastAsia="宋体" w:cs="宋体"/>
          <w:color w:val="auto"/>
          <w:sz w:val="24"/>
          <w:szCs w:val="24"/>
        </w:rPr>
      </w:pPr>
      <w:bookmarkStart w:id="96" w:name="_Toc26926"/>
      <w:r>
        <w:rPr>
          <w:rFonts w:hint="eastAsia" w:ascii="宋体" w:hAnsi="宋体" w:eastAsia="宋体" w:cs="宋体"/>
          <w:color w:val="auto"/>
          <w:sz w:val="24"/>
          <w:szCs w:val="24"/>
        </w:rPr>
        <w:t>（二）非经甲方书面同意，乙方不得将本合同范围的</w:t>
      </w:r>
      <w:r>
        <w:rPr>
          <w:rFonts w:hint="eastAsia" w:ascii="宋体" w:hAnsi="宋体" w:eastAsia="宋体" w:cs="宋体"/>
          <w:color w:val="auto"/>
          <w:sz w:val="24"/>
          <w:szCs w:val="24"/>
          <w:lang w:eastAsia="zh-CN"/>
        </w:rPr>
        <w:t>货物及服务</w:t>
      </w:r>
      <w:r>
        <w:rPr>
          <w:rFonts w:hint="eastAsia" w:ascii="宋体" w:hAnsi="宋体" w:eastAsia="宋体" w:cs="宋体"/>
          <w:color w:val="auto"/>
          <w:sz w:val="24"/>
          <w:szCs w:val="24"/>
        </w:rPr>
        <w:t>全部或部分分包给他人供应；</w:t>
      </w:r>
      <w:bookmarkEnd w:id="96"/>
    </w:p>
    <w:p>
      <w:pPr>
        <w:snapToGrid w:val="0"/>
        <w:spacing w:line="400" w:lineRule="exact"/>
        <w:ind w:firstLine="480" w:firstLineChars="200"/>
        <w:jc w:val="left"/>
        <w:rPr>
          <w:rFonts w:hint="eastAsia" w:ascii="宋体" w:hAnsi="宋体" w:eastAsia="宋体" w:cs="宋体"/>
          <w:color w:val="auto"/>
          <w:sz w:val="24"/>
          <w:szCs w:val="24"/>
        </w:rPr>
      </w:pPr>
      <w:bookmarkStart w:id="97" w:name="_Toc11245"/>
      <w:r>
        <w:rPr>
          <w:rFonts w:hint="eastAsia" w:ascii="宋体" w:hAnsi="宋体" w:eastAsia="宋体" w:cs="宋体"/>
          <w:color w:val="auto"/>
          <w:sz w:val="24"/>
          <w:szCs w:val="24"/>
        </w:rPr>
        <w:t>（三）如有转让和未经甲方同意的分包行为，甲方有权解除合同，没收履约保证金并追究乙方的违约责任。</w:t>
      </w:r>
      <w:bookmarkEnd w:id="97"/>
    </w:p>
    <w:p>
      <w:pPr>
        <w:pStyle w:val="3"/>
        <w:spacing w:line="240" w:lineRule="auto"/>
        <w:rPr>
          <w:rFonts w:hint="eastAsia" w:ascii="宋体" w:hAnsi="宋体" w:eastAsia="宋体" w:cs="宋体"/>
          <w:color w:val="auto"/>
          <w:sz w:val="24"/>
          <w:szCs w:val="24"/>
        </w:rPr>
      </w:pPr>
      <w:bookmarkStart w:id="98" w:name="_Toc54718206"/>
      <w:bookmarkStart w:id="99" w:name="_Toc2241"/>
      <w:r>
        <w:rPr>
          <w:rFonts w:hint="eastAsia" w:ascii="宋体" w:hAnsi="宋体" w:eastAsia="宋体" w:cs="宋体"/>
          <w:color w:val="auto"/>
          <w:sz w:val="24"/>
          <w:szCs w:val="24"/>
        </w:rPr>
        <w:t>五、质量保证及售后服务</w:t>
      </w:r>
      <w:bookmarkEnd w:id="98"/>
      <w:bookmarkEnd w:id="99"/>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lang w:eastAsia="zh-CN"/>
        </w:rPr>
      </w:pPr>
      <w:bookmarkStart w:id="100" w:name="_Toc12985"/>
      <w:bookmarkStart w:id="101" w:name="_Toc23372"/>
      <w:r>
        <w:rPr>
          <w:rFonts w:hint="eastAsia" w:ascii="宋体" w:hAnsi="宋体" w:eastAsia="宋体" w:cs="宋体"/>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）如在使用过程中</w:t>
      </w:r>
      <w:r>
        <w:rPr>
          <w:rFonts w:hint="eastAsia" w:ascii="宋体" w:hAnsi="宋体" w:eastAsia="宋体" w:cs="宋体"/>
          <w:color w:val="auto"/>
          <w:sz w:val="24"/>
          <w:szCs w:val="24"/>
          <w:lang w:eastAsia="zh-CN"/>
        </w:rPr>
        <w:t>出现争议</w:t>
      </w:r>
      <w:r>
        <w:rPr>
          <w:rFonts w:hint="eastAsia" w:ascii="宋体" w:hAnsi="宋体" w:eastAsia="宋体" w:cs="宋体"/>
          <w:color w:val="auto"/>
          <w:sz w:val="24"/>
          <w:szCs w:val="24"/>
        </w:rPr>
        <w:t>问题，乙方应同本项目“第</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篇 项目商务要求”对质量保证及售后服务内容的约定。</w:t>
      </w:r>
      <w:bookmarkEnd w:id="100"/>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合同</w:t>
      </w:r>
      <w:r>
        <w:rPr>
          <w:rFonts w:hint="eastAsia" w:ascii="宋体" w:hAnsi="宋体" w:eastAsia="宋体" w:cs="宋体"/>
          <w:color w:val="auto"/>
          <w:sz w:val="24"/>
          <w:szCs w:val="24"/>
        </w:rPr>
        <w:t>期内，</w:t>
      </w:r>
      <w:r>
        <w:rPr>
          <w:rFonts w:hint="eastAsia" w:ascii="宋体" w:hAnsi="宋体" w:eastAsia="宋体" w:cs="宋体"/>
          <w:color w:val="auto"/>
          <w:sz w:val="24"/>
          <w:szCs w:val="24"/>
          <w:lang w:eastAsia="zh-CN"/>
        </w:rPr>
        <w:t>在服务过程中出现的</w:t>
      </w:r>
      <w:r>
        <w:rPr>
          <w:rFonts w:hint="eastAsia" w:ascii="宋体" w:hAnsi="宋体" w:eastAsia="宋体" w:cs="宋体"/>
          <w:color w:val="auto"/>
          <w:sz w:val="24"/>
          <w:szCs w:val="24"/>
        </w:rPr>
        <w:t>安全问题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乙方负责处理解决并承担一切费用。</w:t>
      </w:r>
      <w:bookmarkEnd w:id="101"/>
    </w:p>
    <w:p>
      <w:pPr>
        <w:pStyle w:val="3"/>
        <w:spacing w:line="240" w:lineRule="auto"/>
        <w:rPr>
          <w:rFonts w:hint="eastAsia" w:ascii="宋体" w:hAnsi="宋体" w:eastAsia="宋体" w:cs="宋体"/>
          <w:color w:val="auto"/>
          <w:sz w:val="24"/>
          <w:szCs w:val="24"/>
        </w:rPr>
      </w:pPr>
      <w:bookmarkStart w:id="102" w:name="_Toc54718207"/>
      <w:bookmarkStart w:id="103" w:name="_Toc9053"/>
      <w:r>
        <w:rPr>
          <w:rFonts w:hint="eastAsia" w:ascii="宋体" w:hAnsi="宋体" w:eastAsia="宋体" w:cs="宋体"/>
          <w:color w:val="auto"/>
          <w:sz w:val="24"/>
          <w:szCs w:val="24"/>
        </w:rPr>
        <w:t>六、付款</w:t>
      </w:r>
      <w:bookmarkEnd w:id="102"/>
      <w:bookmarkEnd w:id="103"/>
    </w:p>
    <w:p>
      <w:pPr>
        <w:snapToGrid w:val="0"/>
        <w:spacing w:line="400" w:lineRule="exact"/>
        <w:ind w:firstLine="480" w:firstLineChars="200"/>
        <w:jc w:val="left"/>
        <w:rPr>
          <w:rFonts w:hint="eastAsia" w:ascii="宋体" w:hAnsi="宋体" w:eastAsia="宋体" w:cs="宋体"/>
          <w:color w:val="auto"/>
          <w:sz w:val="24"/>
          <w:szCs w:val="24"/>
        </w:rPr>
      </w:pPr>
      <w:bookmarkStart w:id="104" w:name="_Toc23183"/>
      <w:r>
        <w:rPr>
          <w:rFonts w:hint="eastAsia" w:ascii="宋体" w:hAnsi="宋体" w:eastAsia="宋体" w:cs="宋体"/>
          <w:color w:val="auto"/>
          <w:sz w:val="24"/>
          <w:szCs w:val="24"/>
        </w:rPr>
        <w:t>（一）本合同使用货币币制如未作特别说明均为人民币。</w:t>
      </w:r>
      <w:bookmarkEnd w:id="104"/>
    </w:p>
    <w:p>
      <w:pPr>
        <w:snapToGrid w:val="0"/>
        <w:spacing w:line="400" w:lineRule="exact"/>
        <w:ind w:firstLine="480" w:firstLineChars="200"/>
        <w:jc w:val="left"/>
        <w:rPr>
          <w:rFonts w:hint="eastAsia" w:ascii="宋体" w:hAnsi="宋体" w:eastAsia="宋体" w:cs="宋体"/>
          <w:color w:val="auto"/>
          <w:sz w:val="24"/>
          <w:szCs w:val="24"/>
        </w:rPr>
      </w:pPr>
      <w:bookmarkStart w:id="105" w:name="_Toc8880"/>
      <w:r>
        <w:rPr>
          <w:rFonts w:hint="eastAsia" w:ascii="宋体" w:hAnsi="宋体" w:eastAsia="宋体" w:cs="宋体"/>
          <w:color w:val="auto"/>
          <w:sz w:val="24"/>
          <w:szCs w:val="24"/>
        </w:rPr>
        <w:t>（二）付款方式：银行转账。</w:t>
      </w:r>
      <w:bookmarkEnd w:id="105"/>
    </w:p>
    <w:p>
      <w:pPr>
        <w:snapToGrid w:val="0"/>
        <w:spacing w:line="400" w:lineRule="exact"/>
        <w:ind w:firstLine="480" w:firstLineChars="200"/>
        <w:jc w:val="left"/>
        <w:rPr>
          <w:rFonts w:hint="eastAsia" w:ascii="宋体" w:hAnsi="宋体" w:eastAsia="宋体" w:cs="宋体"/>
          <w:color w:val="auto"/>
          <w:sz w:val="24"/>
          <w:szCs w:val="24"/>
        </w:rPr>
      </w:pPr>
      <w:bookmarkStart w:id="106" w:name="_Toc28037"/>
      <w:r>
        <w:rPr>
          <w:rFonts w:hint="eastAsia" w:ascii="宋体" w:hAnsi="宋体" w:eastAsia="宋体" w:cs="宋体"/>
          <w:color w:val="auto"/>
          <w:sz w:val="24"/>
          <w:szCs w:val="24"/>
        </w:rPr>
        <w:t>（三）付款方法：同本项目“第四篇 项目商务要求”中关于付款方式的约定。</w:t>
      </w:r>
      <w:bookmarkEnd w:id="106"/>
    </w:p>
    <w:p>
      <w:pPr>
        <w:pStyle w:val="3"/>
        <w:spacing w:line="240" w:lineRule="auto"/>
        <w:rPr>
          <w:rFonts w:hint="eastAsia" w:ascii="宋体" w:hAnsi="宋体" w:eastAsia="宋体" w:cs="宋体"/>
          <w:color w:val="auto"/>
          <w:sz w:val="24"/>
          <w:szCs w:val="24"/>
        </w:rPr>
      </w:pPr>
      <w:bookmarkStart w:id="107" w:name="_Toc11586"/>
      <w:bookmarkStart w:id="108" w:name="_Toc54718211"/>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、合同争议的解决</w:t>
      </w:r>
      <w:bookmarkEnd w:id="107"/>
      <w:bookmarkEnd w:id="108"/>
    </w:p>
    <w:p>
      <w:pPr>
        <w:snapToGrid w:val="0"/>
        <w:spacing w:line="400" w:lineRule="exact"/>
        <w:ind w:firstLine="480" w:firstLineChars="200"/>
        <w:jc w:val="left"/>
        <w:rPr>
          <w:rFonts w:hint="eastAsia" w:ascii="宋体" w:hAnsi="宋体" w:eastAsia="宋体" w:cs="宋体"/>
          <w:color w:val="auto"/>
          <w:sz w:val="24"/>
          <w:szCs w:val="24"/>
        </w:rPr>
      </w:pPr>
      <w:bookmarkStart w:id="109" w:name="_Toc5382"/>
      <w:r>
        <w:rPr>
          <w:rFonts w:hint="eastAsia" w:ascii="宋体" w:hAnsi="宋体" w:eastAsia="宋体" w:cs="宋体"/>
          <w:color w:val="auto"/>
          <w:sz w:val="24"/>
          <w:szCs w:val="24"/>
        </w:rPr>
        <w:t>（一）当事人友好协商达成一致</w:t>
      </w:r>
      <w:bookmarkEnd w:id="109"/>
    </w:p>
    <w:p>
      <w:pPr>
        <w:snapToGrid w:val="0"/>
        <w:spacing w:line="400" w:lineRule="exact"/>
        <w:ind w:firstLine="480" w:firstLineChars="200"/>
        <w:jc w:val="left"/>
        <w:rPr>
          <w:rFonts w:hint="eastAsia" w:ascii="宋体" w:hAnsi="宋体" w:eastAsia="宋体" w:cs="宋体"/>
          <w:color w:val="auto"/>
          <w:sz w:val="24"/>
          <w:szCs w:val="24"/>
        </w:rPr>
      </w:pPr>
      <w:bookmarkStart w:id="110" w:name="_Toc29926"/>
      <w:r>
        <w:rPr>
          <w:rFonts w:hint="eastAsia" w:ascii="宋体" w:hAnsi="宋体" w:eastAsia="宋体" w:cs="宋体"/>
          <w:color w:val="auto"/>
          <w:sz w:val="24"/>
          <w:szCs w:val="24"/>
        </w:rPr>
        <w:t>（二）</w:t>
      </w:r>
      <w:bookmarkEnd w:id="110"/>
      <w:r>
        <w:rPr>
          <w:rFonts w:hint="eastAsia" w:ascii="宋体" w:hAnsi="宋体" w:eastAsia="宋体" w:cs="宋体"/>
          <w:color w:val="auto"/>
          <w:sz w:val="24"/>
          <w:szCs w:val="24"/>
        </w:rPr>
        <w:t>在60天内当事人协商不能达成协议的，任何一方均可向永川区人民法院起诉。</w:t>
      </w:r>
    </w:p>
    <w:p>
      <w:pPr>
        <w:snapToGrid w:val="0"/>
        <w:spacing w:line="400" w:lineRule="exact"/>
        <w:outlineLvl w:val="1"/>
        <w:rPr>
          <w:rFonts w:hint="eastAsia" w:ascii="宋体" w:hAnsi="宋体" w:eastAsia="宋体" w:cs="宋体"/>
          <w:b/>
          <w:bCs/>
          <w:color w:val="auto"/>
          <w:sz w:val="24"/>
          <w:szCs w:val="24"/>
        </w:rPr>
      </w:pPr>
      <w:bookmarkStart w:id="111" w:name="_Toc54718210"/>
      <w:bookmarkStart w:id="112" w:name="_Toc31719"/>
      <w:bookmarkStart w:id="113" w:name="_Toc54718212"/>
      <w:bookmarkStart w:id="114" w:name="_Toc26580"/>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、知识产权</w:t>
      </w:r>
      <w:bookmarkEnd w:id="111"/>
      <w:bookmarkEnd w:id="112"/>
    </w:p>
    <w:p>
      <w:pPr>
        <w:snapToGrid w:val="0"/>
        <w:spacing w:line="400" w:lineRule="exact"/>
        <w:ind w:firstLine="480" w:firstLineChars="200"/>
        <w:rPr>
          <w:rFonts w:hint="eastAsia" w:ascii="宋体" w:hAnsi="宋体" w:eastAsia="宋体" w:cs="宋体"/>
          <w:color w:val="auto"/>
          <w:sz w:val="24"/>
          <w:szCs w:val="24"/>
        </w:rPr>
      </w:pPr>
      <w:bookmarkStart w:id="115" w:name="_Toc11938"/>
      <w:r>
        <w:rPr>
          <w:rFonts w:hint="eastAsia" w:ascii="宋体" w:hAnsi="宋体" w:eastAsia="宋体" w:cs="宋体"/>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pPr>
        <w:snapToGrid w:val="0"/>
        <w:spacing w:line="400" w:lineRule="exact"/>
        <w:ind w:firstLine="480" w:firstLineChars="200"/>
        <w:rPr>
          <w:rFonts w:hint="eastAsia" w:ascii="宋体" w:hAnsi="宋体" w:eastAsia="宋体" w:cs="宋体"/>
          <w:color w:val="auto"/>
          <w:sz w:val="24"/>
          <w:szCs w:val="24"/>
          <w:lang w:eastAsia="zh-CN"/>
        </w:rPr>
      </w:pPr>
      <w:bookmarkStart w:id="116" w:name="_Toc17287"/>
      <w:r>
        <w:rPr>
          <w:rFonts w:hint="eastAsia" w:ascii="宋体" w:hAnsi="宋体" w:eastAsia="宋体" w:cs="宋体"/>
          <w:color w:val="auto"/>
          <w:sz w:val="24"/>
          <w:szCs w:val="24"/>
        </w:rPr>
        <w:t>（二）若涉及软件开发等服务类项目知识产权的，知识产权归医院所有。</w:t>
      </w:r>
      <w:bookmarkEnd w:id="116"/>
    </w:p>
    <w:p>
      <w:pPr>
        <w:pStyle w:val="3"/>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九</w:t>
      </w:r>
      <w:r>
        <w:rPr>
          <w:rFonts w:hint="eastAsia" w:ascii="宋体" w:hAnsi="宋体" w:eastAsia="宋体" w:cs="宋体"/>
          <w:color w:val="auto"/>
          <w:sz w:val="24"/>
          <w:szCs w:val="24"/>
        </w:rPr>
        <w:t>、违约责任</w:t>
      </w:r>
      <w:bookmarkEnd w:id="113"/>
      <w:bookmarkEnd w:id="114"/>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bookmarkStart w:id="117" w:name="_Toc54718213"/>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）按《中华人民共和国民法典》有关条款，在合同期内，乙方对</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1.合同有效期内，因政策调整变化、乙方所</w:t>
      </w:r>
      <w:r>
        <w:rPr>
          <w:rFonts w:hint="eastAsia" w:ascii="宋体" w:hAnsi="宋体" w:eastAsia="宋体" w:cs="宋体"/>
          <w:color w:val="auto"/>
          <w:sz w:val="24"/>
          <w:szCs w:val="24"/>
          <w:lang w:eastAsia="zh-CN"/>
        </w:rPr>
        <w:t>服务项目不满足相关政策</w:t>
      </w:r>
      <w:r>
        <w:rPr>
          <w:rFonts w:hint="eastAsia" w:ascii="宋体" w:hAnsi="宋体" w:eastAsia="宋体" w:cs="宋体"/>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3.未经甲方同意，乙方擅自变更公司名称或擅自停止</w:t>
      </w:r>
      <w:r>
        <w:rPr>
          <w:rFonts w:hint="eastAsia" w:ascii="宋体" w:hAnsi="宋体" w:eastAsia="宋体" w:cs="宋体"/>
          <w:color w:val="auto"/>
          <w:sz w:val="24"/>
          <w:szCs w:val="24"/>
          <w:lang w:eastAsia="zh-CN"/>
        </w:rPr>
        <w:t>服务的</w:t>
      </w:r>
      <w:r>
        <w:rPr>
          <w:rFonts w:hint="eastAsia" w:ascii="宋体" w:hAnsi="宋体" w:eastAsia="宋体" w:cs="宋体"/>
          <w:color w:val="auto"/>
          <w:sz w:val="24"/>
          <w:szCs w:val="24"/>
        </w:rPr>
        <w:t>；</w:t>
      </w:r>
    </w:p>
    <w:p>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4.未经甲方同意，供货方擅自涨价或停止</w:t>
      </w:r>
      <w:r>
        <w:rPr>
          <w:rFonts w:hint="eastAsia" w:ascii="宋体" w:hAnsi="宋体" w:eastAsia="宋体" w:cs="宋体"/>
          <w:color w:val="auto"/>
          <w:sz w:val="24"/>
          <w:szCs w:val="24"/>
          <w:lang w:eastAsia="zh-CN"/>
        </w:rPr>
        <w:t>服务</w:t>
      </w:r>
      <w:r>
        <w:rPr>
          <w:rFonts w:hint="eastAsia" w:ascii="宋体" w:hAnsi="宋体" w:eastAsia="宋体" w:cs="宋体"/>
          <w:color w:val="auto"/>
          <w:sz w:val="24"/>
          <w:szCs w:val="24"/>
        </w:rPr>
        <w:t>的。</w:t>
      </w:r>
    </w:p>
    <w:p>
      <w:pPr>
        <w:pStyle w:val="3"/>
        <w:spacing w:line="240" w:lineRule="auto"/>
        <w:rPr>
          <w:rFonts w:hint="eastAsia" w:ascii="宋体" w:hAnsi="宋体" w:eastAsia="宋体" w:cs="宋体"/>
          <w:color w:val="auto"/>
          <w:sz w:val="24"/>
          <w:szCs w:val="24"/>
        </w:rPr>
      </w:pPr>
      <w:bookmarkStart w:id="118" w:name="_Toc16142"/>
      <w:r>
        <w:rPr>
          <w:rFonts w:hint="eastAsia" w:ascii="宋体" w:hAnsi="宋体" w:eastAsia="宋体" w:cs="宋体"/>
          <w:color w:val="auto"/>
          <w:sz w:val="24"/>
          <w:szCs w:val="24"/>
          <w:lang w:eastAsia="zh-CN"/>
        </w:rPr>
        <w:t>十</w:t>
      </w:r>
      <w:r>
        <w:rPr>
          <w:rFonts w:hint="eastAsia" w:ascii="宋体" w:hAnsi="宋体" w:eastAsia="宋体" w:cs="宋体"/>
          <w:color w:val="auto"/>
          <w:sz w:val="24"/>
          <w:szCs w:val="24"/>
        </w:rPr>
        <w:t>、合同生效及其它</w:t>
      </w:r>
      <w:bookmarkEnd w:id="117"/>
      <w:bookmarkEnd w:id="118"/>
    </w:p>
    <w:p>
      <w:pPr>
        <w:snapToGrid w:val="0"/>
        <w:spacing w:line="400" w:lineRule="exact"/>
        <w:ind w:firstLine="480" w:firstLineChars="200"/>
        <w:jc w:val="left"/>
        <w:rPr>
          <w:rFonts w:hint="eastAsia" w:ascii="宋体" w:hAnsi="宋体" w:eastAsia="宋体" w:cs="宋体"/>
          <w:color w:val="auto"/>
          <w:sz w:val="24"/>
          <w:szCs w:val="24"/>
        </w:rPr>
      </w:pPr>
      <w:bookmarkStart w:id="119" w:name="_Toc7071"/>
      <w:r>
        <w:rPr>
          <w:rFonts w:hint="eastAsia" w:ascii="宋体" w:hAnsi="宋体" w:eastAsia="宋体" w:cs="宋体"/>
          <w:color w:val="auto"/>
          <w:sz w:val="24"/>
          <w:szCs w:val="24"/>
        </w:rPr>
        <w:t>（一）合同生效及其效力应符合《中华人民共和国民法典》有关规定。</w:t>
      </w:r>
      <w:bookmarkEnd w:id="119"/>
    </w:p>
    <w:p>
      <w:pPr>
        <w:snapToGrid w:val="0"/>
        <w:spacing w:line="400" w:lineRule="exact"/>
        <w:ind w:firstLine="480" w:firstLineChars="200"/>
        <w:jc w:val="left"/>
        <w:rPr>
          <w:rFonts w:hint="eastAsia" w:ascii="宋体" w:hAnsi="宋体" w:eastAsia="宋体" w:cs="宋体"/>
          <w:color w:val="auto"/>
          <w:sz w:val="24"/>
          <w:szCs w:val="24"/>
        </w:rPr>
      </w:pPr>
      <w:bookmarkStart w:id="120" w:name="_Toc26923"/>
      <w:r>
        <w:rPr>
          <w:rFonts w:hint="eastAsia" w:ascii="宋体" w:hAnsi="宋体" w:eastAsia="宋体" w:cs="宋体"/>
          <w:color w:val="auto"/>
          <w:sz w:val="24"/>
          <w:szCs w:val="24"/>
        </w:rPr>
        <w:t>（二）合同应经当事人法定代表人或委托代理人签字，加盖双方合同专用章或公章。</w:t>
      </w:r>
      <w:bookmarkEnd w:id="120"/>
    </w:p>
    <w:p>
      <w:pPr>
        <w:snapToGrid w:val="0"/>
        <w:spacing w:line="400" w:lineRule="exact"/>
        <w:ind w:firstLine="480" w:firstLineChars="200"/>
        <w:jc w:val="left"/>
        <w:rPr>
          <w:rFonts w:hint="eastAsia" w:ascii="宋体" w:hAnsi="宋体" w:eastAsia="宋体" w:cs="宋体"/>
          <w:color w:val="auto"/>
          <w:sz w:val="24"/>
          <w:szCs w:val="24"/>
        </w:rPr>
      </w:pPr>
      <w:bookmarkStart w:id="121" w:name="_Toc21580"/>
      <w:r>
        <w:rPr>
          <w:rFonts w:hint="eastAsia" w:ascii="宋体" w:hAnsi="宋体" w:eastAsia="宋体" w:cs="宋体"/>
          <w:color w:val="auto"/>
          <w:sz w:val="24"/>
          <w:szCs w:val="24"/>
        </w:rPr>
        <w:t>（三）合同所包括附件，是合同不可分割的一部分，具有同等法法律效力。</w:t>
      </w:r>
      <w:bookmarkEnd w:id="121"/>
    </w:p>
    <w:p>
      <w:pPr>
        <w:snapToGrid w:val="0"/>
        <w:spacing w:line="400" w:lineRule="exact"/>
        <w:ind w:firstLine="480" w:firstLineChars="200"/>
        <w:jc w:val="left"/>
        <w:rPr>
          <w:rFonts w:hint="eastAsia" w:ascii="宋体" w:hAnsi="宋体" w:eastAsia="宋体" w:cs="宋体"/>
          <w:color w:val="auto"/>
          <w:sz w:val="24"/>
          <w:szCs w:val="24"/>
        </w:rPr>
      </w:pPr>
      <w:bookmarkStart w:id="122" w:name="_Toc28233"/>
      <w:r>
        <w:rPr>
          <w:rFonts w:hint="eastAsia" w:ascii="宋体" w:hAnsi="宋体" w:eastAsia="宋体" w:cs="宋体"/>
          <w:color w:val="auto"/>
          <w:sz w:val="24"/>
          <w:szCs w:val="24"/>
        </w:rPr>
        <w:t>（四）合同需提供担保的，按《中华人民共和国担保法》规定执行。</w:t>
      </w:r>
      <w:bookmarkEnd w:id="122"/>
    </w:p>
    <w:p>
      <w:pPr>
        <w:snapToGrid w:val="0"/>
        <w:spacing w:line="400" w:lineRule="exact"/>
        <w:ind w:firstLine="480" w:firstLineChars="200"/>
        <w:jc w:val="left"/>
        <w:rPr>
          <w:rFonts w:hint="eastAsia" w:ascii="宋体" w:hAnsi="宋体" w:eastAsia="宋体" w:cs="宋体"/>
          <w:color w:val="auto"/>
          <w:sz w:val="24"/>
          <w:szCs w:val="24"/>
        </w:rPr>
      </w:pPr>
      <w:bookmarkStart w:id="123" w:name="_Toc18983"/>
      <w:r>
        <w:rPr>
          <w:rFonts w:hint="eastAsia" w:ascii="宋体" w:hAnsi="宋体" w:eastAsia="宋体" w:cs="宋体"/>
          <w:color w:val="auto"/>
          <w:sz w:val="24"/>
          <w:szCs w:val="24"/>
        </w:rPr>
        <w:t>（五）本合同条件未尽事宜依照《中华人民共和国民法典》，由供需双方共同协商确定。</w:t>
      </w:r>
      <w:bookmarkEnd w:id="123"/>
    </w:p>
    <w:bookmarkEnd w:id="77"/>
    <w:bookmarkEnd w:id="78"/>
    <w:p>
      <w:pPr>
        <w:tabs>
          <w:tab w:val="left" w:pos="9000"/>
        </w:tabs>
        <w:spacing w:line="276" w:lineRule="auto"/>
        <w:jc w:val="both"/>
        <w:rPr>
          <w:rFonts w:hint="eastAsia" w:ascii="宋体" w:hAnsi="宋体" w:eastAsia="宋体" w:cs="宋体"/>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宋体" w:hAnsi="宋体" w:eastAsia="宋体" w:cs="宋体"/>
          <w:b/>
          <w:color w:val="auto"/>
          <w:sz w:val="36"/>
          <w:szCs w:val="36"/>
        </w:rPr>
      </w:pPr>
      <w:bookmarkStart w:id="124" w:name="_Hlt41879464"/>
      <w:bookmarkEnd w:id="124"/>
      <w:bookmarkStart w:id="125" w:name="_Toc12789072"/>
      <w:bookmarkStart w:id="126" w:name="_Toc13696"/>
      <w:bookmarkStart w:id="127" w:name="_Toc485108795"/>
      <w:r>
        <w:rPr>
          <w:rFonts w:hint="eastAsia" w:ascii="宋体" w:hAnsi="宋体" w:eastAsia="宋体" w:cs="宋体"/>
          <w:b/>
          <w:color w:val="auto"/>
          <w:sz w:val="36"/>
          <w:szCs w:val="36"/>
        </w:rPr>
        <w:t>第六篇  响应文件格式要求</w:t>
      </w:r>
      <w:bookmarkEnd w:id="125"/>
      <w:bookmarkEnd w:id="126"/>
      <w:bookmarkEnd w:id="127"/>
    </w:p>
    <w:p>
      <w:pPr>
        <w:pStyle w:val="3"/>
        <w:spacing w:line="240" w:lineRule="auto"/>
        <w:rPr>
          <w:rFonts w:hint="eastAsia" w:ascii="宋体" w:hAnsi="宋体" w:eastAsia="宋体" w:cs="宋体"/>
          <w:color w:val="auto"/>
          <w:sz w:val="24"/>
          <w:szCs w:val="24"/>
        </w:rPr>
      </w:pPr>
      <w:bookmarkStart w:id="128" w:name="_Toc27382"/>
      <w:r>
        <w:rPr>
          <w:rFonts w:hint="eastAsia" w:ascii="宋体" w:hAnsi="宋体" w:eastAsia="宋体" w:cs="宋体"/>
          <w:color w:val="auto"/>
          <w:sz w:val="24"/>
          <w:szCs w:val="24"/>
        </w:rPr>
        <w:t>一、经济部分</w:t>
      </w:r>
      <w:bookmarkEnd w:id="128"/>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（二）明细报价表</w:t>
      </w:r>
    </w:p>
    <w:p>
      <w:pPr>
        <w:pStyle w:val="3"/>
        <w:spacing w:line="240" w:lineRule="auto"/>
        <w:rPr>
          <w:rFonts w:hint="eastAsia" w:ascii="宋体" w:hAnsi="宋体" w:eastAsia="宋体" w:cs="宋体"/>
          <w:color w:val="auto"/>
          <w:sz w:val="24"/>
          <w:szCs w:val="24"/>
        </w:rPr>
      </w:pPr>
      <w:bookmarkStart w:id="129" w:name="_Toc6305"/>
      <w:r>
        <w:rPr>
          <w:rFonts w:hint="eastAsia" w:ascii="宋体" w:hAnsi="宋体" w:eastAsia="宋体" w:cs="宋体"/>
          <w:color w:val="auto"/>
          <w:sz w:val="24"/>
          <w:szCs w:val="24"/>
        </w:rPr>
        <w:t>二、服务部分</w:t>
      </w:r>
      <w:bookmarkEnd w:id="129"/>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（一）按照“第三篇  项目服务需求”提供相应资料</w:t>
      </w:r>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（二）服务响应偏离表</w:t>
      </w:r>
    </w:p>
    <w:p>
      <w:pPr>
        <w:pStyle w:val="3"/>
        <w:spacing w:line="240" w:lineRule="auto"/>
        <w:rPr>
          <w:rFonts w:hint="eastAsia" w:ascii="宋体" w:hAnsi="宋体" w:eastAsia="宋体" w:cs="宋体"/>
          <w:color w:val="auto"/>
          <w:sz w:val="24"/>
          <w:szCs w:val="24"/>
        </w:rPr>
      </w:pPr>
      <w:bookmarkStart w:id="130" w:name="_Toc7207"/>
      <w:r>
        <w:rPr>
          <w:rFonts w:hint="eastAsia" w:ascii="宋体" w:hAnsi="宋体" w:eastAsia="宋体" w:cs="宋体"/>
          <w:color w:val="auto"/>
          <w:sz w:val="24"/>
          <w:szCs w:val="24"/>
        </w:rPr>
        <w:t>三、商务部分</w:t>
      </w:r>
      <w:bookmarkEnd w:id="130"/>
    </w:p>
    <w:p>
      <w:pPr>
        <w:snapToGrid w:val="0"/>
        <w:spacing w:line="360" w:lineRule="auto"/>
        <w:ind w:firstLine="480" w:firstLineChars="200"/>
        <w:rPr>
          <w:rFonts w:hint="eastAsia" w:ascii="宋体" w:hAnsi="宋体" w:eastAsia="宋体" w:cs="宋体"/>
          <w:color w:val="auto"/>
          <w:sz w:val="24"/>
          <w:szCs w:val="24"/>
        </w:rPr>
      </w:pPr>
      <w:bookmarkStart w:id="131" w:name="_Toc38358147"/>
      <w:bookmarkStart w:id="132" w:name="OLE_LINK10"/>
      <w:bookmarkStart w:id="133" w:name="OLE_LINK11"/>
      <w:r>
        <w:rPr>
          <w:rFonts w:hint="eastAsia" w:ascii="宋体" w:hAnsi="宋体" w:eastAsia="宋体" w:cs="宋体"/>
          <w:color w:val="auto"/>
          <w:sz w:val="24"/>
          <w:szCs w:val="24"/>
        </w:rPr>
        <w:t>（一）按照“第四篇  项目商务需求”提供相应资料</w:t>
      </w:r>
      <w:bookmarkEnd w:id="131"/>
    </w:p>
    <w:p>
      <w:pPr>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（二）商务响应偏离表</w:t>
      </w:r>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w:t>
      </w:r>
    </w:p>
    <w:p>
      <w:pPr>
        <w:pStyle w:val="3"/>
        <w:spacing w:line="240" w:lineRule="auto"/>
        <w:rPr>
          <w:rFonts w:hint="eastAsia" w:ascii="宋体" w:hAnsi="宋体" w:eastAsia="宋体" w:cs="宋体"/>
          <w:color w:val="auto"/>
          <w:sz w:val="24"/>
          <w:szCs w:val="24"/>
        </w:rPr>
      </w:pPr>
      <w:bookmarkStart w:id="134" w:name="_Toc18417"/>
      <w:r>
        <w:rPr>
          <w:rFonts w:hint="eastAsia" w:ascii="宋体" w:hAnsi="宋体" w:eastAsia="宋体" w:cs="宋体"/>
          <w:color w:val="auto"/>
          <w:sz w:val="24"/>
          <w:szCs w:val="24"/>
        </w:rPr>
        <w:t>四、资格条件及其他</w:t>
      </w:r>
      <w:bookmarkEnd w:id="134"/>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（一）营业执照（副本）或事业单位法人证书（副本）复印件</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（二）组织机构代码证复印件</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（三）法定代表人身份证明书（格式）</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（四）法定代表人授权委托书（格式）</w:t>
      </w:r>
    </w:p>
    <w:p>
      <w:pPr>
        <w:snapToGrid w:val="0"/>
        <w:spacing w:line="400" w:lineRule="exact"/>
        <w:ind w:firstLine="480" w:firstLineChars="200"/>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（五）202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（六）书面声明（格式）</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（七）税务登记证（副本）复印件</w:t>
      </w:r>
    </w:p>
    <w:p>
      <w:pPr>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（九）特定资格条件证书或证明文件（如果有）</w:t>
      </w:r>
    </w:p>
    <w:p>
      <w:pPr>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--严重失信主体名单查询</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--政府采购严重违法失信行为记录名单</w:t>
      </w:r>
      <w:r>
        <w:rPr>
          <w:rFonts w:hint="eastAsia" w:ascii="宋体" w:hAnsi="宋体" w:eastAsia="宋体" w:cs="宋体"/>
          <w:color w:val="auto"/>
          <w:sz w:val="24"/>
          <w:szCs w:val="24"/>
        </w:rPr>
        <w:t>；信用中国--</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--税收违法黑名单</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信用中国</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信用服务</w:t>
      </w:r>
      <w:r>
        <w:rPr>
          <w:rFonts w:hint="eastAsia" w:ascii="宋体" w:hAnsi="宋体" w:eastAsia="宋体" w:cs="宋体"/>
          <w:color w:val="auto"/>
          <w:sz w:val="24"/>
          <w:szCs w:val="24"/>
          <w:lang w:val="en-US" w:eastAsia="zh-CN"/>
        </w:rPr>
        <w:t>--失信被执行人</w:t>
      </w:r>
      <w:r>
        <w:rPr>
          <w:rFonts w:hint="eastAsia" w:ascii="宋体" w:hAnsi="宋体" w:eastAsia="宋体" w:cs="宋体"/>
          <w:color w:val="auto"/>
          <w:sz w:val="24"/>
          <w:szCs w:val="24"/>
        </w:rPr>
        <w:t>（截图模板见第</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篇后附件模板）。</w:t>
      </w:r>
    </w:p>
    <w:p>
      <w:pPr>
        <w:pStyle w:val="3"/>
        <w:spacing w:line="240" w:lineRule="auto"/>
        <w:rPr>
          <w:rFonts w:hint="eastAsia" w:ascii="宋体" w:hAnsi="宋体" w:eastAsia="宋体" w:cs="宋体"/>
          <w:color w:val="auto"/>
          <w:sz w:val="24"/>
          <w:szCs w:val="24"/>
        </w:rPr>
      </w:pPr>
      <w:bookmarkStart w:id="135" w:name="_Toc19884"/>
      <w:r>
        <w:rPr>
          <w:rFonts w:hint="eastAsia" w:ascii="宋体" w:hAnsi="宋体" w:eastAsia="宋体" w:cs="宋体"/>
          <w:color w:val="auto"/>
          <w:sz w:val="24"/>
          <w:szCs w:val="24"/>
        </w:rPr>
        <w:t>五、其他应提供的资料</w:t>
      </w:r>
      <w:bookmarkEnd w:id="135"/>
    </w:p>
    <w:p>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（一）其他资料</w:t>
      </w:r>
    </w:p>
    <w:bookmarkEnd w:id="132"/>
    <w:bookmarkEnd w:id="133"/>
    <w:p>
      <w:pPr>
        <w:spacing w:line="44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1.其他与项目有关的资料</w:t>
      </w:r>
    </w:p>
    <w:p>
      <w:pPr>
        <w:snapToGrid w:val="0"/>
        <w:spacing w:line="360" w:lineRule="auto"/>
        <w:rPr>
          <w:rFonts w:hint="eastAsia" w:ascii="宋体" w:hAnsi="宋体" w:eastAsia="宋体" w:cs="宋体"/>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3"/>
        </w:numPr>
        <w:ind w:firstLineChars="0"/>
        <w:rPr>
          <w:rFonts w:hint="eastAsia" w:ascii="宋体" w:hAnsi="宋体" w:eastAsia="宋体" w:cs="宋体"/>
          <w:b/>
          <w:color w:val="auto"/>
        </w:rPr>
      </w:pPr>
      <w:bookmarkStart w:id="136" w:name="_Toc485108796"/>
      <w:bookmarkStart w:id="137" w:name="_Toc342913419"/>
      <w:bookmarkStart w:id="138" w:name="_Toc480979018"/>
      <w:bookmarkStart w:id="139" w:name="_Toc313008356"/>
      <w:bookmarkStart w:id="140" w:name="_Toc313888360"/>
      <w:bookmarkStart w:id="141" w:name="_Toc283382454"/>
      <w:bookmarkStart w:id="142" w:name="_Toc12789073"/>
      <w:r>
        <w:rPr>
          <w:rFonts w:hint="eastAsia" w:ascii="宋体" w:hAnsi="宋体" w:eastAsia="宋体" w:cs="宋体"/>
          <w:b/>
          <w:color w:val="auto"/>
        </w:rPr>
        <w:t>经济部分</w:t>
      </w:r>
      <w:bookmarkEnd w:id="136"/>
      <w:bookmarkEnd w:id="137"/>
      <w:bookmarkEnd w:id="138"/>
      <w:bookmarkEnd w:id="139"/>
      <w:bookmarkEnd w:id="140"/>
    </w:p>
    <w:p>
      <w:pPr>
        <w:pStyle w:val="180"/>
        <w:ind w:left="450" w:firstLine="0" w:firstLineChars="0"/>
        <w:rPr>
          <w:rFonts w:hint="eastAsia" w:ascii="宋体" w:hAnsi="宋体" w:eastAsia="宋体" w:cs="宋体"/>
          <w:b/>
          <w:color w:val="auto"/>
        </w:rPr>
      </w:pPr>
    </w:p>
    <w:bookmarkEnd w:id="141"/>
    <w:bookmarkEnd w:id="142"/>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（一）比选报价函</w:t>
      </w:r>
    </w:p>
    <w:p>
      <w:pPr>
        <w:tabs>
          <w:tab w:val="left" w:pos="6300"/>
        </w:tabs>
        <w:snapToGrid w:val="0"/>
        <w:spacing w:line="480" w:lineRule="exact"/>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比选报价函</w:t>
      </w:r>
    </w:p>
    <w:p>
      <w:pPr>
        <w:tabs>
          <w:tab w:val="left" w:pos="6300"/>
        </w:tabs>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4"/>
        </w:rPr>
        <w:t>：</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1、愿意按照比选文件中的一切要求，提供本项目的技术服务、商务需求，初始报价以</w:t>
      </w:r>
      <w:r>
        <w:rPr>
          <w:rFonts w:hint="eastAsia" w:ascii="宋体" w:hAnsi="宋体" w:eastAsia="宋体" w:cs="宋体"/>
          <w:color w:val="auto"/>
          <w:sz w:val="24"/>
          <w:szCs w:val="24"/>
          <w:lang w:eastAsia="zh-CN"/>
        </w:rPr>
        <w:t>（二）明细报价表</w:t>
      </w:r>
      <w:r>
        <w:rPr>
          <w:rFonts w:hint="eastAsia" w:ascii="宋体" w:hAnsi="宋体" w:eastAsia="宋体" w:cs="宋体"/>
          <w:color w:val="auto"/>
          <w:sz w:val="24"/>
          <w:szCs w:val="24"/>
        </w:rPr>
        <w:t>为准。</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2、我方现提交的响应文件为：响应文件正本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份，副本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份。</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3、我方承诺：本次比选的有效期为90天。</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7、我方未为采购项目提供整体设计、规范编制或者项目管理、监理、监测等服务。</w:t>
      </w:r>
    </w:p>
    <w:p>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供应商（公章）：</w:t>
      </w:r>
    </w:p>
    <w:p>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 xml:space="preserve">地址：  </w:t>
      </w:r>
    </w:p>
    <w:p>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电话：                           传真：</w:t>
      </w:r>
    </w:p>
    <w:p>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网址：                           邮编：</w:t>
      </w:r>
    </w:p>
    <w:p>
      <w:pPr>
        <w:tabs>
          <w:tab w:val="left" w:pos="6300"/>
        </w:tabs>
        <w:snapToGrid w:val="0"/>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szCs w:val="24"/>
        </w:rPr>
        <w:t>联系人：</w:t>
      </w:r>
    </w:p>
    <w:p>
      <w:pPr>
        <w:snapToGrid w:val="0"/>
        <w:spacing w:line="360" w:lineRule="auto"/>
        <w:ind w:firstLine="480" w:firstLineChars="200"/>
        <w:rPr>
          <w:rFonts w:hint="eastAsia" w:ascii="宋体" w:hAnsi="宋体" w:eastAsia="宋体" w:cs="宋体"/>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rPr>
        <w:t xml:space="preserve">                               年   月   日</w:t>
      </w:r>
    </w:p>
    <w:p>
      <w:pPr>
        <w:tabs>
          <w:tab w:val="left" w:pos="2895"/>
        </w:tabs>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auto"/>
          <w:sz w:val="24"/>
          <w:szCs w:val="24"/>
        </w:rPr>
        <w:t>（二）明细报价表</w:t>
      </w:r>
    </w:p>
    <w:p>
      <w:pPr>
        <w:pStyle w:val="51"/>
        <w:spacing w:beforeAutospacing="0" w:afterAutospacing="0" w:line="480" w:lineRule="exact"/>
        <w:jc w:val="center"/>
        <w:rPr>
          <w:rFonts w:hint="eastAsia" w:cs="MS Shell Dlg"/>
          <w:color w:val="000000" w:themeColor="text1"/>
          <w:sz w:val="36"/>
          <w:szCs w:val="36"/>
          <w14:textFill>
            <w14:solidFill>
              <w14:schemeClr w14:val="tx1"/>
            </w14:solidFill>
          </w14:textFill>
        </w:rPr>
      </w:pPr>
      <w:bookmarkStart w:id="143" w:name="_Toc313888361"/>
      <w:bookmarkStart w:id="144" w:name="_Toc313008357"/>
      <w:bookmarkStart w:id="145" w:name="_Toc485108797"/>
      <w:bookmarkStart w:id="146" w:name="_Toc480979019"/>
      <w:bookmarkStart w:id="147" w:name="_Toc342913420"/>
      <w:r>
        <w:rPr>
          <w:rFonts w:hint="eastAsia" w:cs="MS Shell Dlg"/>
          <w:color w:val="000000" w:themeColor="text1"/>
          <w:sz w:val="36"/>
          <w:szCs w:val="36"/>
          <w14:textFill>
            <w14:solidFill>
              <w14:schemeClr w14:val="tx1"/>
            </w14:solidFill>
          </w14:textFill>
        </w:rPr>
        <w:t>报价表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4814"/>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pPr>
              <w:pStyle w:val="51"/>
              <w:spacing w:beforeAutospacing="0" w:afterAutospacing="0" w:line="48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项目名称</w:t>
            </w:r>
          </w:p>
        </w:tc>
        <w:tc>
          <w:tcPr>
            <w:tcW w:w="4814" w:type="dxa"/>
          </w:tcPr>
          <w:p>
            <w:pPr>
              <w:pStyle w:val="51"/>
              <w:spacing w:beforeAutospacing="0" w:afterAutospacing="0" w:line="48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报价（元）</w:t>
            </w:r>
          </w:p>
        </w:tc>
        <w:tc>
          <w:tcPr>
            <w:tcW w:w="2407" w:type="dxa"/>
          </w:tcPr>
          <w:p>
            <w:pPr>
              <w:pStyle w:val="51"/>
              <w:spacing w:beforeAutospacing="0" w:afterAutospacing="0" w:line="48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pPr>
              <w:pStyle w:val="51"/>
              <w:spacing w:beforeAutospacing="0" w:afterAutospacing="0" w:line="48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毕业典礼设施设备租用服务</w:t>
            </w:r>
          </w:p>
        </w:tc>
        <w:tc>
          <w:tcPr>
            <w:tcW w:w="4814" w:type="dxa"/>
          </w:tcPr>
          <w:p>
            <w:pPr>
              <w:pStyle w:val="51"/>
              <w:spacing w:beforeAutospacing="0" w:afterAutospacing="0" w:line="480" w:lineRule="exact"/>
              <w:jc w:val="center"/>
              <w:rPr>
                <w:rFonts w:hint="eastAsia" w:ascii="宋体" w:hAnsi="宋体" w:eastAsia="宋体" w:cs="宋体"/>
                <w:color w:val="auto"/>
                <w:kern w:val="2"/>
                <w:sz w:val="24"/>
                <w:szCs w:val="24"/>
                <w:lang w:val="en-US" w:eastAsia="zh-CN" w:bidi="ar-SA"/>
              </w:rPr>
            </w:pPr>
          </w:p>
        </w:tc>
        <w:tc>
          <w:tcPr>
            <w:tcW w:w="2407" w:type="dxa"/>
          </w:tcPr>
          <w:p>
            <w:pPr>
              <w:pStyle w:val="51"/>
              <w:spacing w:beforeAutospacing="0" w:afterAutospacing="0" w:line="480" w:lineRule="exact"/>
              <w:jc w:val="center"/>
              <w:rPr>
                <w:rFonts w:hint="eastAsia" w:ascii="宋体" w:hAnsi="宋体" w:eastAsia="宋体" w:cs="宋体"/>
                <w:color w:val="auto"/>
                <w:kern w:val="2"/>
                <w:sz w:val="24"/>
                <w:szCs w:val="24"/>
                <w:lang w:val="en-US" w:eastAsia="zh-CN" w:bidi="ar-SA"/>
              </w:rPr>
            </w:pPr>
          </w:p>
        </w:tc>
      </w:tr>
    </w:tbl>
    <w:p>
      <w:pPr>
        <w:pStyle w:val="51"/>
        <w:spacing w:beforeAutospacing="0" w:afterAutospacing="0" w:line="480" w:lineRule="exact"/>
        <w:jc w:val="center"/>
        <w:rPr>
          <w:rFonts w:hint="eastAsia" w:cs="MS Shell Dlg"/>
          <w:color w:val="000000" w:themeColor="text1"/>
          <w:sz w:val="36"/>
          <w:szCs w:val="36"/>
          <w14:textFill>
            <w14:solidFill>
              <w14:schemeClr w14:val="tx1"/>
            </w14:solidFill>
          </w14:textFill>
        </w:rPr>
      </w:pPr>
    </w:p>
    <w:p>
      <w:pPr>
        <w:rPr>
          <w:rFonts w:hint="eastAsia" w:ascii="宋体" w:hAnsi="宋体" w:eastAsia="方正仿宋_GBK" w:cs="宋体"/>
          <w:b/>
          <w:color w:val="FF0000"/>
          <w:lang w:eastAsia="zh-CN"/>
        </w:rPr>
      </w:pPr>
      <w:r>
        <w:rPr>
          <w:rFonts w:hint="eastAsia" w:ascii="宋体" w:hAnsi="宋体" w:eastAsia="宋体" w:cs="宋体"/>
          <w:color w:val="FF0000"/>
          <w:sz w:val="28"/>
          <w:szCs w:val="28"/>
          <w:lang w:eastAsia="zh-CN"/>
        </w:rPr>
        <w:t>注：</w:t>
      </w:r>
      <w:r>
        <w:rPr>
          <w:rFonts w:hint="eastAsia" w:ascii="方正仿宋_GBK" w:hAnsi="宋体" w:eastAsia="方正仿宋_GBK" w:cs="MS Shell Dlg"/>
          <w:color w:val="FF0000"/>
          <w:sz w:val="28"/>
          <w:szCs w:val="28"/>
        </w:rPr>
        <w:t>投标报价均为包干价，包含但不限于租赁费、运输费、安装费、调试费、保险费等各项费用</w:t>
      </w:r>
      <w:r>
        <w:rPr>
          <w:rFonts w:hint="eastAsia" w:ascii="方正仿宋_GBK" w:hAnsi="宋体" w:eastAsia="方正仿宋_GBK" w:cs="MS Shell Dlg"/>
          <w:color w:val="FF0000"/>
          <w:sz w:val="28"/>
          <w:szCs w:val="28"/>
          <w:lang w:eastAsia="zh-CN"/>
        </w:rPr>
        <w:t>。</w:t>
      </w:r>
    </w:p>
    <w:p>
      <w:pPr>
        <w:rPr>
          <w:rFonts w:hint="eastAsia" w:ascii="宋体" w:hAnsi="宋体" w:eastAsia="宋体" w:cs="宋体"/>
          <w:b/>
          <w:color w:val="FF0000"/>
        </w:rPr>
      </w:pPr>
    </w:p>
    <w:p>
      <w:pPr>
        <w:rPr>
          <w:rFonts w:hint="eastAsia" w:ascii="宋体" w:hAnsi="宋体" w:eastAsia="宋体" w:cs="宋体"/>
          <w:b/>
          <w:color w:val="auto"/>
        </w:rPr>
      </w:pPr>
    </w:p>
    <w:p>
      <w:pPr>
        <w:pStyle w:val="22"/>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p>
    <w:p>
      <w:pPr>
        <w:rPr>
          <w:rFonts w:hint="eastAsia" w:ascii="宋体" w:hAnsi="宋体" w:eastAsia="宋体" w:cs="宋体"/>
          <w:b/>
          <w:color w:val="auto"/>
        </w:rPr>
      </w:pPr>
      <w:r>
        <w:rPr>
          <w:rFonts w:hint="eastAsia" w:ascii="宋体" w:hAnsi="宋体" w:eastAsia="宋体" w:cs="宋体"/>
          <w:b/>
          <w:color w:val="auto"/>
        </w:rPr>
        <w:t>二、服务部分</w:t>
      </w:r>
      <w:bookmarkEnd w:id="143"/>
      <w:bookmarkEnd w:id="144"/>
      <w:bookmarkEnd w:id="145"/>
      <w:bookmarkEnd w:id="146"/>
      <w:bookmarkEnd w:id="147"/>
    </w:p>
    <w:p>
      <w:pPr>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（一）按照“第三篇  项目服务需求”提供相应资料</w:t>
      </w:r>
    </w:p>
    <w:p>
      <w:pPr>
        <w:tabs>
          <w:tab w:val="left" w:pos="6300"/>
        </w:tabs>
        <w:snapToGrid w:val="0"/>
        <w:spacing w:line="500" w:lineRule="exact"/>
        <w:ind w:firstLine="570"/>
        <w:rPr>
          <w:rFonts w:hint="eastAsia" w:ascii="宋体" w:hAnsi="宋体" w:eastAsia="宋体" w:cs="宋体"/>
          <w:color w:val="auto"/>
          <w:sz w:val="24"/>
          <w:szCs w:val="24"/>
        </w:rPr>
      </w:pPr>
      <w:r>
        <w:rPr>
          <w:rFonts w:hint="eastAsia" w:ascii="宋体" w:hAnsi="宋体" w:eastAsia="宋体" w:cs="宋体"/>
          <w:color w:val="auto"/>
          <w:sz w:val="28"/>
          <w:szCs w:val="24"/>
        </w:rPr>
        <w:br w:type="page"/>
      </w:r>
      <w:r>
        <w:rPr>
          <w:rFonts w:hint="eastAsia" w:ascii="宋体" w:hAnsi="宋体" w:eastAsia="宋体" w:cs="宋体"/>
          <w:color w:val="auto"/>
          <w:sz w:val="24"/>
          <w:szCs w:val="24"/>
        </w:rPr>
        <w:t>（二）服务响应偏离表</w:t>
      </w:r>
    </w:p>
    <w:p>
      <w:pPr>
        <w:tabs>
          <w:tab w:val="left" w:pos="6300"/>
        </w:tabs>
        <w:snapToGrid w:val="0"/>
        <w:spacing w:line="500" w:lineRule="exact"/>
        <w:ind w:firstLine="480" w:firstLineChars="200"/>
        <w:outlineLvl w:val="0"/>
        <w:rPr>
          <w:rFonts w:hint="eastAsia" w:ascii="宋体" w:hAnsi="宋体" w:eastAsia="宋体" w:cs="宋体"/>
          <w:color w:val="auto"/>
          <w:sz w:val="24"/>
          <w:szCs w:val="20"/>
        </w:rPr>
      </w:pPr>
      <w:r>
        <w:rPr>
          <w:rFonts w:hint="eastAsia" w:ascii="宋体" w:hAnsi="宋体" w:eastAsia="宋体" w:cs="宋体"/>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序号</w:t>
            </w: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采购需求</w:t>
            </w: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响应情况</w:t>
            </w: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r>
              <w:rPr>
                <w:rFonts w:hint="eastAsia" w:ascii="宋体" w:hAnsi="宋体" w:eastAsia="宋体" w:cs="宋体"/>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658"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759"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c>
          <w:tcPr>
            <w:tcW w:w="2067" w:type="dxa"/>
            <w:vAlign w:val="center"/>
          </w:tcPr>
          <w:p>
            <w:pPr>
              <w:tabs>
                <w:tab w:val="left" w:pos="6300"/>
              </w:tabs>
              <w:snapToGrid w:val="0"/>
              <w:spacing w:line="500" w:lineRule="exact"/>
              <w:jc w:val="center"/>
              <w:outlineLvl w:val="0"/>
              <w:rPr>
                <w:rFonts w:hint="eastAsia" w:ascii="宋体" w:hAnsi="宋体" w:eastAsia="宋体" w:cs="宋体"/>
                <w:color w:val="auto"/>
                <w:szCs w:val="21"/>
              </w:rPr>
            </w:pPr>
          </w:p>
        </w:tc>
      </w:tr>
    </w:tbl>
    <w:p>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pPr>
        <w:spacing w:line="500" w:lineRule="exact"/>
        <w:ind w:firstLine="720" w:firstLineChars="30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4.可附相关技术支撑材料。（格式自定）</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0"/>
        </w:rPr>
        <w:t>5.</w:t>
      </w:r>
      <w:r>
        <w:rPr>
          <w:rFonts w:hint="eastAsia" w:ascii="宋体" w:hAnsi="宋体" w:eastAsia="宋体" w:cs="宋体"/>
          <w:b/>
          <w:bCs/>
          <w:color w:val="auto"/>
          <w:sz w:val="24"/>
          <w:szCs w:val="20"/>
        </w:rPr>
        <w:t>若“响应情况”栏中仅填写“无偏离”或“有偏离”等内容而未作实质性参数描述，该供应商将</w:t>
      </w:r>
      <w:r>
        <w:rPr>
          <w:rFonts w:hint="eastAsia" w:ascii="宋体" w:hAnsi="宋体" w:eastAsia="宋体" w:cs="宋体"/>
          <w:b/>
          <w:bCs/>
          <w:color w:val="auto"/>
          <w:sz w:val="24"/>
          <w:szCs w:val="24"/>
        </w:rPr>
        <w:t>失去成为成交供应商的资格，仅保留其合格供应商的身份。</w:t>
      </w:r>
    </w:p>
    <w:p>
      <w:pPr>
        <w:rPr>
          <w:rFonts w:hint="eastAsia" w:ascii="宋体" w:hAnsi="宋体" w:eastAsia="宋体" w:cs="宋体"/>
          <w:b/>
          <w:color w:val="auto"/>
        </w:rPr>
      </w:pPr>
      <w:r>
        <w:rPr>
          <w:rFonts w:hint="eastAsia" w:ascii="宋体" w:hAnsi="宋体" w:eastAsia="宋体" w:cs="宋体"/>
          <w:color w:val="auto"/>
          <w:sz w:val="32"/>
          <w:szCs w:val="20"/>
        </w:rPr>
        <w:br w:type="page"/>
      </w:r>
      <w:bookmarkStart w:id="148" w:name="_Toc480979020"/>
      <w:bookmarkStart w:id="149" w:name="_Toc313888362"/>
      <w:bookmarkStart w:id="150" w:name="_Toc342913421"/>
      <w:bookmarkStart w:id="151" w:name="_Toc313008358"/>
      <w:bookmarkStart w:id="152" w:name="_Toc485108798"/>
      <w:r>
        <w:rPr>
          <w:rFonts w:hint="eastAsia" w:ascii="宋体" w:hAnsi="宋体" w:eastAsia="宋体" w:cs="宋体"/>
          <w:b/>
          <w:color w:val="auto"/>
        </w:rPr>
        <w:t>三、商务部分</w:t>
      </w:r>
      <w:bookmarkEnd w:id="148"/>
      <w:bookmarkEnd w:id="149"/>
      <w:bookmarkEnd w:id="150"/>
      <w:bookmarkEnd w:id="151"/>
      <w:bookmarkEnd w:id="152"/>
    </w:p>
    <w:p>
      <w:pPr>
        <w:spacing w:line="360" w:lineRule="auto"/>
        <w:ind w:firstLine="480" w:firstLineChars="200"/>
        <w:rPr>
          <w:rFonts w:hint="eastAsia" w:ascii="宋体" w:hAnsi="宋体" w:eastAsia="宋体" w:cs="宋体"/>
          <w:color w:val="auto"/>
          <w:sz w:val="28"/>
          <w:szCs w:val="28"/>
        </w:rPr>
      </w:pPr>
      <w:r>
        <w:rPr>
          <w:rFonts w:hint="eastAsia" w:ascii="宋体" w:hAnsi="宋体" w:eastAsia="宋体" w:cs="宋体"/>
          <w:color w:val="auto"/>
          <w:sz w:val="24"/>
          <w:szCs w:val="24"/>
        </w:rPr>
        <w:t>（一）</w:t>
      </w:r>
      <w:r>
        <w:rPr>
          <w:rFonts w:hint="eastAsia" w:ascii="宋体" w:hAnsi="宋体" w:eastAsia="宋体" w:cs="宋体"/>
          <w:color w:val="auto"/>
          <w:sz w:val="28"/>
          <w:szCs w:val="28"/>
        </w:rPr>
        <w:t>按照“第四篇  项目商务需求”提供相应资料</w:t>
      </w:r>
    </w:p>
    <w:p>
      <w:pPr>
        <w:snapToGrid w:val="0"/>
        <w:spacing w:line="360" w:lineRule="auto"/>
        <w:ind w:firstLine="562" w:firstLineChars="200"/>
        <w:rPr>
          <w:rFonts w:hint="eastAsia" w:ascii="宋体" w:hAnsi="宋体" w:eastAsia="宋体" w:cs="宋体"/>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hint="eastAsia" w:ascii="宋体" w:hAnsi="宋体" w:eastAsia="宋体" w:cs="宋体"/>
          <w:color w:val="auto"/>
          <w:sz w:val="24"/>
          <w:szCs w:val="24"/>
        </w:rPr>
      </w:pPr>
      <w:bookmarkStart w:id="153" w:name="_Toc283382459"/>
      <w:r>
        <w:rPr>
          <w:rFonts w:hint="eastAsia" w:ascii="宋体" w:hAnsi="宋体" w:eastAsia="宋体" w:cs="宋体"/>
          <w:color w:val="auto"/>
          <w:sz w:val="24"/>
          <w:szCs w:val="24"/>
        </w:rPr>
        <w:t>（二）商务响应偏离表</w:t>
      </w:r>
    </w:p>
    <w:p>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商务响应偏离表</w:t>
      </w:r>
    </w:p>
    <w:p>
      <w:pPr>
        <w:snapToGrid w:val="0"/>
        <w:spacing w:line="500" w:lineRule="exact"/>
        <w:ind w:firstLine="480"/>
        <w:jc w:val="left"/>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p>
      <w:pPr>
        <w:snapToGrid w:val="0"/>
        <w:spacing w:line="360" w:lineRule="auto"/>
        <w:ind w:firstLine="465"/>
        <w:rPr>
          <w:rFonts w:hint="eastAsia" w:ascii="宋体" w:hAnsi="宋体" w:eastAsia="宋体" w:cs="宋体"/>
          <w:color w:val="auto"/>
          <w:sz w:val="24"/>
          <w:szCs w:val="24"/>
        </w:rPr>
      </w:pPr>
      <w:r>
        <w:rPr>
          <w:rFonts w:hint="eastAsia" w:ascii="宋体" w:hAnsi="宋体" w:eastAsia="宋体" w:cs="宋体"/>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序号</w:t>
            </w: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比选项目需求</w:t>
            </w: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响应情况</w:t>
            </w: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r>
              <w:rPr>
                <w:rFonts w:hint="eastAsia" w:ascii="宋体" w:hAnsi="宋体" w:eastAsia="宋体" w:cs="宋体"/>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3179"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434"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c>
          <w:tcPr>
            <w:tcW w:w="2355" w:type="dxa"/>
            <w:vAlign w:val="center"/>
          </w:tcPr>
          <w:p>
            <w:pPr>
              <w:tabs>
                <w:tab w:val="left" w:pos="6300"/>
              </w:tabs>
              <w:snapToGrid w:val="0"/>
              <w:spacing w:line="360" w:lineRule="auto"/>
              <w:jc w:val="center"/>
              <w:outlineLvl w:val="0"/>
              <w:rPr>
                <w:rFonts w:hint="eastAsia" w:ascii="宋体" w:hAnsi="宋体" w:eastAsia="宋体" w:cs="宋体"/>
                <w:color w:val="auto"/>
                <w:szCs w:val="24"/>
              </w:rPr>
            </w:pPr>
          </w:p>
        </w:tc>
      </w:tr>
    </w:tbl>
    <w:p>
      <w:pPr>
        <w:snapToGrid w:val="0"/>
        <w:spacing w:line="360" w:lineRule="auto"/>
        <w:ind w:firstLine="465"/>
        <w:rPr>
          <w:rFonts w:hint="eastAsia" w:ascii="宋体" w:hAnsi="宋体" w:eastAsia="宋体" w:cs="宋体"/>
          <w:color w:val="auto"/>
          <w:sz w:val="24"/>
          <w:szCs w:val="24"/>
        </w:rPr>
      </w:pPr>
    </w:p>
    <w:p>
      <w:pPr>
        <w:spacing w:line="500" w:lineRule="exact"/>
        <w:ind w:firstLine="600" w:firstLineChars="250"/>
        <w:rPr>
          <w:rFonts w:hint="eastAsia" w:ascii="宋体" w:hAnsi="宋体" w:eastAsia="宋体" w:cs="宋体"/>
          <w:color w:val="auto"/>
          <w:sz w:val="24"/>
          <w:szCs w:val="28"/>
        </w:rPr>
      </w:pPr>
      <w:r>
        <w:rPr>
          <w:rFonts w:hint="eastAsia" w:ascii="宋体" w:hAnsi="宋体" w:eastAsia="宋体" w:cs="宋体"/>
          <w:color w:val="auto"/>
          <w:sz w:val="24"/>
          <w:szCs w:val="28"/>
        </w:rPr>
        <w:t>供应商：                                      法定代表人授权代表：</w:t>
      </w:r>
    </w:p>
    <w:p>
      <w:pPr>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 xml:space="preserve">    </w:t>
      </w:r>
    </w:p>
    <w:p>
      <w:pPr>
        <w:spacing w:line="500" w:lineRule="exact"/>
        <w:ind w:firstLine="360" w:firstLineChars="150"/>
        <w:rPr>
          <w:rFonts w:hint="eastAsia" w:ascii="宋体" w:hAnsi="宋体" w:eastAsia="宋体" w:cs="宋体"/>
          <w:color w:val="auto"/>
          <w:sz w:val="24"/>
          <w:szCs w:val="28"/>
        </w:rPr>
      </w:pPr>
      <w:r>
        <w:rPr>
          <w:rFonts w:hint="eastAsia" w:ascii="宋体" w:hAnsi="宋体" w:eastAsia="宋体" w:cs="宋体"/>
          <w:color w:val="auto"/>
          <w:sz w:val="24"/>
          <w:szCs w:val="28"/>
        </w:rPr>
        <w:t>（供应商公章）                                 （签字或盖章）</w:t>
      </w: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8"/>
        </w:rPr>
        <w:t xml:space="preserve">                                            年     月     日</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注：</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4"/>
        </w:rPr>
        <w:t>1</w:t>
      </w:r>
      <w:r>
        <w:rPr>
          <w:rFonts w:hint="eastAsia" w:ascii="宋体" w:hAnsi="宋体" w:eastAsia="宋体" w:cs="宋体"/>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3.该表可扩展</w:t>
      </w:r>
      <w:r>
        <w:rPr>
          <w:rFonts w:hint="eastAsia" w:ascii="宋体" w:hAnsi="宋体" w:eastAsia="宋体" w:cs="宋体"/>
          <w:color w:val="auto"/>
          <w:sz w:val="24"/>
          <w:szCs w:val="28"/>
        </w:rPr>
        <w:t>，并逐页签字或盖章</w:t>
      </w:r>
      <w:r>
        <w:rPr>
          <w:rFonts w:hint="eastAsia" w:ascii="宋体" w:hAnsi="宋体" w:eastAsia="宋体" w:cs="宋体"/>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rPr>
      </w:pPr>
      <w:r>
        <w:rPr>
          <w:rFonts w:hint="eastAsia" w:ascii="宋体" w:hAnsi="宋体" w:eastAsia="宋体" w:cs="宋体"/>
          <w:b/>
          <w:bCs/>
          <w:color w:val="auto"/>
          <w:sz w:val="24"/>
          <w:szCs w:val="24"/>
        </w:rPr>
        <w:t>4.</w:t>
      </w:r>
      <w:r>
        <w:rPr>
          <w:rFonts w:hint="eastAsia" w:ascii="宋体" w:hAnsi="宋体" w:eastAsia="宋体" w:cs="宋体"/>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宋体" w:hAnsi="宋体" w:eastAsia="宋体" w:cs="宋体"/>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（三）其它优惠承诺（格式自定）</w:t>
      </w:r>
    </w:p>
    <w:p>
      <w:pPr>
        <w:tabs>
          <w:tab w:val="left" w:pos="6300"/>
        </w:tabs>
        <w:snapToGrid w:val="0"/>
        <w:spacing w:line="500" w:lineRule="exact"/>
        <w:ind w:firstLine="480" w:firstLineChars="200"/>
        <w:rPr>
          <w:rFonts w:hint="eastAsia" w:ascii="宋体" w:hAnsi="宋体" w:eastAsia="宋体" w:cs="宋体"/>
          <w:color w:val="auto"/>
          <w:sz w:val="24"/>
          <w:szCs w:val="20"/>
        </w:rPr>
      </w:pPr>
    </w:p>
    <w:p>
      <w:pPr>
        <w:spacing w:line="360" w:lineRule="auto"/>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br w:type="page"/>
      </w:r>
    </w:p>
    <w:p>
      <w:pPr>
        <w:rPr>
          <w:rFonts w:hint="eastAsia" w:ascii="宋体" w:hAnsi="宋体" w:eastAsia="宋体" w:cs="宋体"/>
          <w:b/>
          <w:color w:val="auto"/>
        </w:rPr>
      </w:pPr>
      <w:r>
        <w:rPr>
          <w:rFonts w:hint="eastAsia" w:ascii="宋体" w:hAnsi="宋体" w:eastAsia="宋体" w:cs="宋体"/>
          <w:b/>
          <w:color w:val="auto"/>
        </w:rPr>
        <w:t>四、资格条件及其他</w:t>
      </w:r>
    </w:p>
    <w:p>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t>（一）</w:t>
      </w:r>
      <w:r>
        <w:rPr>
          <w:rFonts w:hint="eastAsia" w:ascii="宋体" w:hAnsi="宋体" w:eastAsia="宋体" w:cs="宋体"/>
          <w:color w:val="auto"/>
          <w:sz w:val="24"/>
          <w:szCs w:val="24"/>
        </w:rPr>
        <w:t>营业执照（副本）或事业单位法人证书（副本）复印件或个体工商户营业执照或有效的自然人身份证明或社会团体法人登记证书复印件</w:t>
      </w:r>
    </w:p>
    <w:p>
      <w:pPr>
        <w:keepNext/>
        <w:keepLines/>
        <w:spacing w:line="360" w:lineRule="auto"/>
        <w:outlineLvl w:val="2"/>
        <w:rPr>
          <w:rFonts w:hint="eastAsia" w:ascii="宋体" w:hAnsi="宋体" w:eastAsia="宋体" w:cs="宋体"/>
          <w:color w:val="auto"/>
          <w:sz w:val="28"/>
          <w:szCs w:val="20"/>
        </w:rPr>
      </w:pPr>
      <w:r>
        <w:rPr>
          <w:rFonts w:hint="eastAsia" w:ascii="宋体" w:hAnsi="宋体" w:eastAsia="宋体" w:cs="宋体"/>
          <w:b/>
          <w:color w:val="auto"/>
          <w:sz w:val="24"/>
          <w:szCs w:val="24"/>
        </w:rPr>
        <w:br w:type="page"/>
      </w:r>
      <w:bookmarkEnd w:id="153"/>
      <w:bookmarkStart w:id="154" w:name="_Toc342913422"/>
      <w:bookmarkStart w:id="155" w:name="_Toc313008359"/>
      <w:bookmarkStart w:id="156" w:name="_Toc313888363"/>
    </w:p>
    <w:p>
      <w:pPr>
        <w:snapToGrid w:val="0"/>
        <w:spacing w:line="400" w:lineRule="exact"/>
        <w:ind w:firstLine="560" w:firstLineChars="200"/>
        <w:rPr>
          <w:rFonts w:hint="eastAsia" w:ascii="宋体" w:hAnsi="宋体" w:eastAsia="宋体" w:cs="宋体"/>
          <w:color w:val="auto"/>
          <w:sz w:val="24"/>
          <w:szCs w:val="24"/>
        </w:rPr>
      </w:pPr>
      <w:r>
        <w:rPr>
          <w:rFonts w:hint="eastAsia" w:ascii="宋体" w:hAnsi="宋体" w:eastAsia="宋体" w:cs="宋体"/>
          <w:color w:val="auto"/>
          <w:sz w:val="28"/>
          <w:szCs w:val="20"/>
        </w:rPr>
        <w:t>（二）</w:t>
      </w:r>
      <w:r>
        <w:rPr>
          <w:rFonts w:hint="eastAsia" w:ascii="宋体" w:hAnsi="宋体" w:eastAsia="宋体" w:cs="宋体"/>
          <w:color w:val="auto"/>
          <w:sz w:val="24"/>
          <w:szCs w:val="24"/>
        </w:rPr>
        <w:t>组织机构代码证复印件</w:t>
      </w:r>
    </w:p>
    <w:p>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br w:type="page"/>
      </w:r>
      <w:bookmarkEnd w:id="154"/>
      <w:bookmarkEnd w:id="155"/>
      <w:bookmarkEnd w:id="156"/>
      <w:r>
        <w:rPr>
          <w:rFonts w:hint="eastAsia" w:ascii="宋体" w:hAnsi="宋体" w:eastAsia="宋体" w:cs="宋体"/>
          <w:color w:val="auto"/>
          <w:sz w:val="28"/>
          <w:szCs w:val="20"/>
        </w:rPr>
        <w:t>（三）法定代表人身份证明书（格式）</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项目名称：</w:t>
      </w:r>
      <w:r>
        <w:rPr>
          <w:rFonts w:hint="eastAsia" w:ascii="宋体" w:hAnsi="宋体" w:eastAsia="宋体" w:cs="宋体"/>
          <w:color w:val="auto"/>
          <w:sz w:val="24"/>
          <w:szCs w:val="20"/>
          <w:u w:val="single"/>
        </w:rPr>
        <w:t xml:space="preserve">                                                </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（法定代表人姓名）在</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（供应商名称）任</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（职务名称）职务，是（供应商名称）</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的法定代表人。</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特此证明。</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（供应商公章）</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年   月   日</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（附：法定代表人身份证正反面复印件）</w:t>
      </w:r>
    </w:p>
    <w:p>
      <w:pPr>
        <w:tabs>
          <w:tab w:val="left" w:pos="6300"/>
        </w:tabs>
        <w:snapToGrid w:val="0"/>
        <w:spacing w:line="500" w:lineRule="exact"/>
        <w:ind w:firstLine="570"/>
        <w:rPr>
          <w:rFonts w:hint="eastAsia" w:ascii="宋体" w:hAnsi="宋体" w:eastAsia="宋体" w:cs="宋体"/>
          <w:color w:val="auto"/>
          <w:sz w:val="24"/>
          <w:szCs w:val="20"/>
        </w:rPr>
      </w:pPr>
    </w:p>
    <w:p>
      <w:pPr>
        <w:widowControl/>
        <w:ind w:firstLine="480" w:firstLineChars="200"/>
        <w:jc w:val="left"/>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8"/>
          <w:szCs w:val="20"/>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（四）法定代表人授权委托书（格式）</w:t>
      </w: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（供应商法定代表人名称）是</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（供应商名称）的法定代表人，特授权</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我单位对被授权人的签字负全部责任。</w:t>
      </w: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被授权人：                                 供应商法定代表人：</w:t>
      </w:r>
    </w:p>
    <w:p>
      <w:pPr>
        <w:tabs>
          <w:tab w:val="left" w:pos="6300"/>
        </w:tabs>
        <w:snapToGrid w:val="0"/>
        <w:spacing w:line="500" w:lineRule="exact"/>
        <w:ind w:firstLine="570"/>
        <w:rPr>
          <w:rFonts w:hint="eastAsia" w:ascii="宋体" w:hAnsi="宋体" w:eastAsia="宋体" w:cs="宋体"/>
          <w:color w:val="auto"/>
          <w:sz w:val="24"/>
          <w:szCs w:val="28"/>
        </w:rPr>
      </w:pPr>
      <w:r>
        <w:rPr>
          <w:rFonts w:hint="eastAsia" w:ascii="宋体" w:hAnsi="宋体" w:eastAsia="宋体" w:cs="宋体"/>
          <w:color w:val="auto"/>
          <w:sz w:val="24"/>
          <w:szCs w:val="28"/>
        </w:rPr>
        <w:t>（签字或盖章）                                （签字或盖章）</w:t>
      </w:r>
    </w:p>
    <w:p>
      <w:pPr>
        <w:tabs>
          <w:tab w:val="left" w:pos="6300"/>
        </w:tabs>
        <w:snapToGrid w:val="0"/>
        <w:spacing w:line="500" w:lineRule="exact"/>
        <w:ind w:firstLine="570"/>
        <w:rPr>
          <w:rFonts w:hint="eastAsia" w:ascii="宋体" w:hAnsi="宋体" w:eastAsia="宋体" w:cs="宋体"/>
          <w:color w:val="auto"/>
          <w:sz w:val="24"/>
          <w:szCs w:val="28"/>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（附：被授权人身份证正反面复印件）</w:t>
      </w:r>
    </w:p>
    <w:p>
      <w:pPr>
        <w:tabs>
          <w:tab w:val="left" w:pos="6300"/>
        </w:tabs>
        <w:snapToGrid w:val="0"/>
        <w:spacing w:line="500" w:lineRule="exact"/>
        <w:ind w:firstLine="570"/>
        <w:rPr>
          <w:rFonts w:hint="eastAsia" w:ascii="宋体" w:hAnsi="宋体" w:eastAsia="宋体" w:cs="宋体"/>
          <w:color w:val="auto"/>
          <w:sz w:val="24"/>
          <w:szCs w:val="20"/>
        </w:rPr>
      </w:pPr>
      <w:r>
        <w:rPr>
          <w:rFonts w:hint="eastAsia" w:ascii="宋体" w:hAnsi="宋体" w:eastAsia="宋体" w:cs="宋体"/>
          <w:color w:val="auto"/>
          <w:sz w:val="24"/>
          <w:szCs w:val="20"/>
        </w:rPr>
        <w:t xml:space="preserve">                                          </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（供应商公章）</w:t>
      </w:r>
    </w:p>
    <w:p>
      <w:pPr>
        <w:tabs>
          <w:tab w:val="left" w:pos="6300"/>
        </w:tabs>
        <w:snapToGrid w:val="0"/>
        <w:spacing w:line="500" w:lineRule="exact"/>
        <w:ind w:right="480" w:firstLine="570"/>
        <w:jc w:val="right"/>
        <w:rPr>
          <w:rFonts w:hint="eastAsia" w:ascii="宋体" w:hAnsi="宋体" w:eastAsia="宋体" w:cs="宋体"/>
          <w:color w:val="auto"/>
          <w:sz w:val="24"/>
          <w:szCs w:val="20"/>
        </w:rPr>
      </w:pPr>
      <w:r>
        <w:rPr>
          <w:rFonts w:hint="eastAsia" w:ascii="宋体" w:hAnsi="宋体" w:eastAsia="宋体" w:cs="宋体"/>
          <w:color w:val="auto"/>
          <w:sz w:val="24"/>
          <w:szCs w:val="20"/>
        </w:rPr>
        <w:t>年   月   日</w:t>
      </w:r>
    </w:p>
    <w:p>
      <w:pPr>
        <w:tabs>
          <w:tab w:val="left" w:pos="6300"/>
        </w:tabs>
        <w:snapToGrid w:val="0"/>
        <w:spacing w:line="500" w:lineRule="exact"/>
        <w:ind w:firstLine="480"/>
        <w:rPr>
          <w:rFonts w:hint="eastAsia" w:ascii="宋体" w:hAnsi="宋体" w:eastAsia="宋体" w:cs="宋体"/>
          <w:color w:val="auto"/>
          <w:sz w:val="24"/>
          <w:szCs w:val="24"/>
        </w:rPr>
      </w:pPr>
      <w:r>
        <w:rPr>
          <w:rFonts w:hint="eastAsia" w:ascii="宋体" w:hAnsi="宋体" w:eastAsia="宋体" w:cs="宋体"/>
          <w:color w:val="auto"/>
          <w:sz w:val="28"/>
          <w:szCs w:val="20"/>
        </w:rPr>
        <w:br w:type="column"/>
      </w:r>
      <w:r>
        <w:rPr>
          <w:rFonts w:hint="eastAsia" w:ascii="宋体" w:hAnsi="宋体" w:eastAsia="宋体" w:cs="宋体"/>
          <w:color w:val="auto"/>
          <w:sz w:val="28"/>
          <w:szCs w:val="20"/>
        </w:rPr>
        <w:t>（五）</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或202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ind w:firstLine="570"/>
        <w:jc w:val="center"/>
        <w:rPr>
          <w:rFonts w:hint="eastAsia" w:ascii="宋体" w:hAnsi="宋体" w:eastAsia="宋体" w:cs="宋体"/>
          <w:color w:val="auto"/>
          <w:sz w:val="28"/>
          <w:szCs w:val="20"/>
        </w:rPr>
      </w:pPr>
    </w:p>
    <w:p>
      <w:pPr>
        <w:tabs>
          <w:tab w:val="left" w:pos="6300"/>
        </w:tabs>
        <w:snapToGrid w:val="0"/>
        <w:spacing w:line="500" w:lineRule="exact"/>
        <w:rPr>
          <w:rFonts w:hint="eastAsia" w:ascii="宋体" w:hAnsi="宋体" w:eastAsia="宋体" w:cs="宋体"/>
          <w:color w:val="auto"/>
          <w:sz w:val="28"/>
          <w:szCs w:val="20"/>
        </w:rPr>
      </w:pPr>
    </w:p>
    <w:p>
      <w:pPr>
        <w:tabs>
          <w:tab w:val="left" w:pos="6300"/>
        </w:tabs>
        <w:snapToGrid w:val="0"/>
        <w:spacing w:line="500" w:lineRule="exact"/>
        <w:ind w:firstLine="560" w:firstLineChars="200"/>
        <w:rPr>
          <w:rFonts w:hint="eastAsia" w:ascii="宋体" w:hAnsi="宋体" w:eastAsia="宋体" w:cs="宋体"/>
          <w:color w:val="auto"/>
          <w:sz w:val="24"/>
          <w:szCs w:val="20"/>
        </w:rPr>
      </w:pPr>
      <w:r>
        <w:rPr>
          <w:rFonts w:hint="eastAsia" w:ascii="宋体" w:hAnsi="宋体" w:eastAsia="宋体" w:cs="宋体"/>
          <w:color w:val="auto"/>
          <w:sz w:val="28"/>
          <w:szCs w:val="20"/>
        </w:rPr>
        <w:t>（六）书面声明</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8"/>
        </w:rPr>
        <w:t>项目名称</w:t>
      </w:r>
      <w:r>
        <w:rPr>
          <w:rFonts w:hint="eastAsia" w:ascii="宋体" w:hAnsi="宋体" w:eastAsia="宋体" w:cs="宋体"/>
          <w:color w:val="auto"/>
          <w:sz w:val="24"/>
          <w:szCs w:val="20"/>
        </w:rPr>
        <w:t>：</w:t>
      </w:r>
      <w:r>
        <w:rPr>
          <w:rFonts w:hint="eastAsia" w:ascii="宋体" w:hAnsi="宋体" w:eastAsia="宋体" w:cs="宋体"/>
          <w:color w:val="auto"/>
          <w:sz w:val="24"/>
          <w:szCs w:val="20"/>
          <w:u w:val="single"/>
        </w:rPr>
        <w:t xml:space="preserve">                                                </w:t>
      </w:r>
    </w:p>
    <w:p>
      <w:pPr>
        <w:tabs>
          <w:tab w:val="left" w:pos="6300"/>
        </w:tabs>
        <w:snapToGrid w:val="0"/>
        <w:spacing w:line="500" w:lineRule="exact"/>
        <w:ind w:firstLine="570"/>
        <w:rPr>
          <w:rFonts w:hint="eastAsia" w:ascii="宋体" w:hAnsi="宋体" w:eastAsia="宋体" w:cs="宋体"/>
          <w:color w:val="auto"/>
          <w:sz w:val="24"/>
          <w:szCs w:val="20"/>
        </w:rPr>
      </w:pPr>
    </w:p>
    <w:p>
      <w:pPr>
        <w:tabs>
          <w:tab w:val="left" w:pos="6300"/>
        </w:tabs>
        <w:snapToGrid w:val="0"/>
        <w:spacing w:line="500" w:lineRule="exact"/>
        <w:ind w:firstLine="480" w:firstLineChars="200"/>
        <w:rPr>
          <w:rFonts w:hint="eastAsia" w:ascii="宋体" w:hAnsi="宋体" w:eastAsia="宋体" w:cs="宋体"/>
          <w:color w:val="auto"/>
          <w:sz w:val="24"/>
          <w:szCs w:val="20"/>
        </w:rPr>
      </w:pPr>
      <w:r>
        <w:rPr>
          <w:rFonts w:hint="eastAsia" w:ascii="宋体" w:hAnsi="宋体" w:eastAsia="宋体" w:cs="宋体"/>
          <w:color w:val="auto"/>
          <w:sz w:val="24"/>
          <w:szCs w:val="20"/>
        </w:rPr>
        <w:t>致：</w:t>
      </w:r>
      <w:r>
        <w:rPr>
          <w:rFonts w:hint="eastAsia" w:ascii="宋体" w:hAnsi="宋体" w:eastAsia="宋体" w:cs="宋体"/>
          <w:color w:val="auto"/>
          <w:sz w:val="24"/>
          <w:szCs w:val="24"/>
          <w:u w:val="single"/>
        </w:rPr>
        <w:t>重庆医科大学附属永川医院</w:t>
      </w:r>
      <w:r>
        <w:rPr>
          <w:rFonts w:hint="eastAsia" w:ascii="宋体" w:hAnsi="宋体" w:eastAsia="宋体" w:cs="宋体"/>
          <w:color w:val="auto"/>
          <w:sz w:val="24"/>
          <w:szCs w:val="20"/>
          <w:u w:val="single"/>
        </w:rPr>
        <w:t xml:space="preserve">   </w:t>
      </w:r>
      <w:r>
        <w:rPr>
          <w:rFonts w:hint="eastAsia" w:ascii="宋体" w:hAnsi="宋体" w:eastAsia="宋体" w:cs="宋体"/>
          <w:color w:val="auto"/>
          <w:sz w:val="24"/>
          <w:szCs w:val="20"/>
        </w:rPr>
        <w:t>：</w:t>
      </w:r>
    </w:p>
    <w:p>
      <w:pPr>
        <w:spacing w:line="440" w:lineRule="exact"/>
        <w:ind w:firstLine="480" w:firstLineChars="200"/>
        <w:rPr>
          <w:rFonts w:hint="eastAsia" w:ascii="宋体" w:hAnsi="宋体" w:eastAsia="宋体" w:cs="宋体"/>
          <w:color w:val="auto"/>
          <w:sz w:val="24"/>
          <w:szCs w:val="28"/>
        </w:rPr>
      </w:pPr>
      <w:r>
        <w:rPr>
          <w:rFonts w:hint="eastAsia" w:ascii="宋体" w:hAnsi="宋体" w:eastAsia="宋体" w:cs="宋体"/>
          <w:color w:val="auto"/>
          <w:sz w:val="24"/>
          <w:szCs w:val="28"/>
          <w:u w:val="single"/>
        </w:rPr>
        <w:t xml:space="preserve">                       </w:t>
      </w:r>
      <w:r>
        <w:rPr>
          <w:rFonts w:hint="eastAsia" w:ascii="宋体" w:hAnsi="宋体" w:eastAsia="宋体" w:cs="宋体"/>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hint="eastAsia" w:ascii="宋体" w:hAnsi="宋体" w:eastAsia="宋体" w:cs="宋体"/>
          <w:color w:val="auto"/>
          <w:sz w:val="24"/>
          <w:szCs w:val="28"/>
        </w:rPr>
      </w:pPr>
      <w:r>
        <w:rPr>
          <w:rFonts w:hint="eastAsia" w:ascii="宋体" w:hAnsi="宋体" w:eastAsia="宋体" w:cs="宋体"/>
          <w:color w:val="auto"/>
          <w:sz w:val="24"/>
          <w:szCs w:val="28"/>
        </w:rPr>
        <w:t>特此声明。</w:t>
      </w:r>
    </w:p>
    <w:p>
      <w:pPr>
        <w:tabs>
          <w:tab w:val="left" w:pos="6300"/>
        </w:tabs>
        <w:snapToGrid w:val="0"/>
        <w:spacing w:line="500" w:lineRule="exact"/>
        <w:jc w:val="center"/>
        <w:rPr>
          <w:rFonts w:hint="eastAsia" w:ascii="宋体" w:hAnsi="宋体" w:eastAsia="宋体" w:cs="宋体"/>
          <w:color w:val="auto"/>
          <w:sz w:val="24"/>
          <w:szCs w:val="28"/>
        </w:rPr>
      </w:pPr>
    </w:p>
    <w:p>
      <w:pPr>
        <w:tabs>
          <w:tab w:val="left" w:pos="6300"/>
        </w:tabs>
        <w:snapToGrid w:val="0"/>
        <w:spacing w:line="500" w:lineRule="exact"/>
        <w:rPr>
          <w:rFonts w:hint="eastAsia" w:ascii="宋体" w:hAnsi="宋体" w:eastAsia="宋体" w:cs="宋体"/>
          <w:color w:val="auto"/>
          <w:sz w:val="24"/>
          <w:szCs w:val="28"/>
        </w:rPr>
      </w:pPr>
    </w:p>
    <w:p>
      <w:pPr>
        <w:tabs>
          <w:tab w:val="left" w:pos="6300"/>
        </w:tabs>
        <w:snapToGrid w:val="0"/>
        <w:spacing w:line="500" w:lineRule="exact"/>
        <w:ind w:firstLine="6480" w:firstLineChars="2700"/>
        <w:rPr>
          <w:rFonts w:hint="eastAsia" w:ascii="宋体" w:hAnsi="宋体" w:eastAsia="宋体" w:cs="宋体"/>
          <w:color w:val="auto"/>
          <w:sz w:val="24"/>
          <w:szCs w:val="28"/>
        </w:rPr>
      </w:pPr>
      <w:r>
        <w:rPr>
          <w:rFonts w:hint="eastAsia" w:ascii="宋体" w:hAnsi="宋体" w:eastAsia="宋体" w:cs="宋体"/>
          <w:color w:val="auto"/>
          <w:sz w:val="24"/>
          <w:szCs w:val="28"/>
        </w:rPr>
        <w:t>（供应商公章）</w:t>
      </w:r>
    </w:p>
    <w:p>
      <w:pPr>
        <w:tabs>
          <w:tab w:val="left" w:pos="6300"/>
        </w:tabs>
        <w:snapToGrid w:val="0"/>
        <w:spacing w:line="360" w:lineRule="auto"/>
        <w:ind w:right="360" w:firstLine="480" w:firstLineChars="200"/>
        <w:jc w:val="right"/>
        <w:rPr>
          <w:rFonts w:hint="eastAsia" w:ascii="宋体" w:hAnsi="宋体" w:eastAsia="宋体" w:cs="宋体"/>
          <w:color w:val="auto"/>
          <w:sz w:val="24"/>
          <w:szCs w:val="28"/>
        </w:rPr>
      </w:pPr>
    </w:p>
    <w:p>
      <w:pPr>
        <w:tabs>
          <w:tab w:val="left" w:pos="6300"/>
        </w:tabs>
        <w:snapToGrid w:val="0"/>
        <w:spacing w:line="360" w:lineRule="auto"/>
        <w:ind w:right="1320" w:firstLine="480" w:firstLineChars="200"/>
        <w:jc w:val="right"/>
        <w:rPr>
          <w:rFonts w:hint="eastAsia" w:ascii="宋体" w:hAnsi="宋体" w:eastAsia="宋体" w:cs="宋体"/>
          <w:color w:val="auto"/>
          <w:sz w:val="24"/>
          <w:szCs w:val="28"/>
        </w:rPr>
      </w:pPr>
      <w:r>
        <w:rPr>
          <w:rFonts w:hint="eastAsia" w:ascii="宋体" w:hAnsi="宋体" w:eastAsia="宋体" w:cs="宋体"/>
          <w:color w:val="auto"/>
          <w:sz w:val="24"/>
          <w:szCs w:val="28"/>
        </w:rPr>
        <w:t>年   月   日</w:t>
      </w: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500" w:lineRule="exact"/>
        <w:outlineLvl w:val="0"/>
        <w:rPr>
          <w:rFonts w:hint="eastAsia" w:ascii="宋体" w:hAnsi="宋体" w:eastAsia="宋体" w:cs="宋体"/>
          <w:color w:val="auto"/>
          <w:sz w:val="24"/>
          <w:szCs w:val="24"/>
        </w:rPr>
      </w:pPr>
    </w:p>
    <w:p>
      <w:pPr>
        <w:tabs>
          <w:tab w:val="left" w:pos="6300"/>
        </w:tabs>
        <w:snapToGrid w:val="0"/>
        <w:spacing w:line="360" w:lineRule="auto"/>
        <w:ind w:firstLine="560" w:firstLineChars="200"/>
        <w:rPr>
          <w:rFonts w:hint="eastAsia" w:ascii="宋体" w:hAnsi="宋体" w:eastAsia="宋体" w:cs="宋体"/>
          <w:color w:val="auto"/>
          <w:sz w:val="28"/>
          <w:szCs w:val="20"/>
        </w:rPr>
      </w:pPr>
      <w:bookmarkStart w:id="157" w:name="OLE_LINK7"/>
      <w:bookmarkStart w:id="158" w:name="OLE_LINK4"/>
    </w:p>
    <w:p>
      <w:pPr>
        <w:tabs>
          <w:tab w:val="left" w:pos="6300"/>
        </w:tabs>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0"/>
        </w:rPr>
        <w:t>（七）</w:t>
      </w:r>
      <w:r>
        <w:rPr>
          <w:rFonts w:hint="eastAsia" w:ascii="宋体" w:hAnsi="宋体" w:eastAsia="宋体" w:cs="宋体"/>
          <w:color w:val="auto"/>
          <w:sz w:val="28"/>
          <w:szCs w:val="28"/>
        </w:rPr>
        <w:t>税务登记证（副本）复印件</w:t>
      </w:r>
    </w:p>
    <w:p>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8"/>
        </w:rPr>
        <w:t>（八）</w:t>
      </w:r>
      <w:r>
        <w:rPr>
          <w:rFonts w:hint="eastAsia" w:ascii="宋体" w:hAnsi="宋体" w:eastAsia="宋体" w:cs="宋体"/>
          <w:color w:val="auto"/>
          <w:sz w:val="28"/>
          <w:szCs w:val="20"/>
        </w:rPr>
        <w:t>社会保险缴纳证明材料</w:t>
      </w:r>
    </w:p>
    <w:p>
      <w:pPr>
        <w:widowControl/>
        <w:spacing w:line="4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hint="eastAsia" w:ascii="宋体" w:hAnsi="宋体" w:eastAsia="宋体" w:cs="宋体"/>
          <w:color w:val="auto"/>
          <w:sz w:val="28"/>
          <w:szCs w:val="20"/>
        </w:rPr>
      </w:pPr>
    </w:p>
    <w:p>
      <w:pPr>
        <w:tabs>
          <w:tab w:val="left" w:pos="6300"/>
        </w:tabs>
        <w:snapToGrid w:val="0"/>
        <w:spacing w:line="500" w:lineRule="exact"/>
        <w:ind w:firstLine="560" w:firstLineChars="200"/>
        <w:rPr>
          <w:rFonts w:hint="eastAsia" w:ascii="宋体" w:hAnsi="宋体" w:eastAsia="宋体" w:cs="宋体"/>
          <w:color w:val="auto"/>
          <w:sz w:val="28"/>
          <w:szCs w:val="20"/>
        </w:rPr>
      </w:pPr>
      <w:r>
        <w:rPr>
          <w:rFonts w:hint="eastAsia" w:ascii="宋体" w:hAnsi="宋体" w:eastAsia="宋体" w:cs="宋体"/>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hint="eastAsia" w:ascii="宋体" w:hAnsi="宋体" w:eastAsia="宋体" w:cs="宋体"/>
          <w:color w:val="auto"/>
          <w:sz w:val="28"/>
          <w:szCs w:val="20"/>
        </w:rPr>
      </w:pPr>
    </w:p>
    <w:bookmarkEnd w:id="157"/>
    <w:bookmarkEnd w:id="158"/>
    <w:p>
      <w:pPr>
        <w:widowControl/>
        <w:ind w:firstLine="560" w:firstLineChars="200"/>
        <w:jc w:val="left"/>
        <w:rPr>
          <w:rFonts w:hint="eastAsia" w:ascii="宋体" w:hAnsi="宋体" w:eastAsia="宋体" w:cs="宋体"/>
          <w:color w:val="auto"/>
          <w:sz w:val="28"/>
          <w:szCs w:val="20"/>
        </w:rPr>
      </w:pPr>
      <w:r>
        <w:rPr>
          <w:rFonts w:hint="eastAsia" w:ascii="宋体" w:hAnsi="宋体" w:eastAsia="宋体" w:cs="宋体"/>
          <w:color w:val="auto"/>
          <w:sz w:val="28"/>
          <w:szCs w:val="20"/>
        </w:rPr>
        <w:t>（九）特定资格条件证书或证明文件</w:t>
      </w:r>
      <w:r>
        <w:rPr>
          <w:rFonts w:hint="eastAsia" w:ascii="宋体" w:hAnsi="宋体" w:eastAsia="宋体" w:cs="宋体"/>
          <w:color w:val="auto"/>
          <w:szCs w:val="28"/>
        </w:rPr>
        <w:t>（如果有）</w:t>
      </w:r>
    </w:p>
    <w:p>
      <w:pPr>
        <w:tabs>
          <w:tab w:val="left" w:pos="6300"/>
        </w:tabs>
        <w:snapToGrid w:val="0"/>
        <w:spacing w:line="500" w:lineRule="exact"/>
        <w:ind w:firstLine="560" w:firstLineChars="200"/>
        <w:rPr>
          <w:rFonts w:hint="eastAsia" w:ascii="宋体" w:hAnsi="宋体" w:eastAsia="宋体" w:cs="宋体"/>
          <w:color w:val="auto"/>
          <w:sz w:val="28"/>
          <w:szCs w:val="20"/>
        </w:rPr>
      </w:pPr>
    </w:p>
    <w:p>
      <w:pPr>
        <w:spacing w:line="360" w:lineRule="auto"/>
        <w:ind w:firstLine="480" w:firstLineChars="200"/>
        <w:jc w:val="center"/>
        <w:rPr>
          <w:rFonts w:hint="eastAsia" w:ascii="宋体" w:hAnsi="宋体" w:eastAsia="宋体" w:cs="宋体"/>
          <w:color w:val="auto"/>
          <w:sz w:val="24"/>
          <w:szCs w:val="24"/>
        </w:rPr>
      </w:pPr>
    </w:p>
    <w:p>
      <w:pPr>
        <w:spacing w:line="360" w:lineRule="auto"/>
        <w:ind w:firstLine="480" w:firstLineChars="200"/>
        <w:jc w:val="center"/>
        <w:rPr>
          <w:rFonts w:hint="eastAsia" w:ascii="宋体" w:hAnsi="宋体" w:eastAsia="宋体" w:cs="宋体"/>
          <w:color w:val="auto"/>
          <w:sz w:val="24"/>
          <w:szCs w:val="24"/>
        </w:rPr>
      </w:pPr>
    </w:p>
    <w:p>
      <w:pPr>
        <w:spacing w:line="360" w:lineRule="auto"/>
        <w:ind w:firstLine="480" w:firstLineChars="200"/>
        <w:jc w:val="center"/>
        <w:rPr>
          <w:rFonts w:hint="eastAsia" w:ascii="宋体" w:hAnsi="宋体" w:eastAsia="宋体" w:cs="宋体"/>
          <w:color w:val="auto"/>
          <w:sz w:val="24"/>
          <w:szCs w:val="24"/>
        </w:rPr>
      </w:pPr>
    </w:p>
    <w:p>
      <w:pPr>
        <w:spacing w:line="360" w:lineRule="auto"/>
        <w:ind w:firstLine="480" w:firstLineChars="200"/>
        <w:jc w:val="center"/>
        <w:rPr>
          <w:rFonts w:hint="eastAsia" w:ascii="宋体" w:hAnsi="宋体" w:eastAsia="宋体" w:cs="宋体"/>
          <w:color w:val="auto"/>
          <w:sz w:val="24"/>
          <w:szCs w:val="24"/>
        </w:rPr>
      </w:pPr>
    </w:p>
    <w:p>
      <w:pPr>
        <w:spacing w:line="360" w:lineRule="auto"/>
        <w:ind w:firstLine="480" w:firstLineChars="200"/>
        <w:jc w:val="center"/>
        <w:rPr>
          <w:rFonts w:hint="eastAsia" w:ascii="宋体" w:hAnsi="宋体" w:eastAsia="宋体" w:cs="宋体"/>
          <w:color w:val="auto"/>
          <w:sz w:val="24"/>
          <w:szCs w:val="24"/>
        </w:rPr>
      </w:pPr>
    </w:p>
    <w:p>
      <w:pPr>
        <w:spacing w:line="360" w:lineRule="auto"/>
        <w:ind w:firstLine="480" w:firstLineChars="200"/>
        <w:jc w:val="center"/>
        <w:rPr>
          <w:rFonts w:hint="eastAsia" w:ascii="宋体" w:hAnsi="宋体" w:eastAsia="宋体" w:cs="宋体"/>
          <w:color w:val="auto"/>
          <w:sz w:val="24"/>
          <w:szCs w:val="24"/>
        </w:rPr>
      </w:pPr>
    </w:p>
    <w:p>
      <w:pPr>
        <w:spacing w:line="360" w:lineRule="auto"/>
        <w:ind w:firstLine="480" w:firstLineChars="200"/>
        <w:jc w:val="center"/>
        <w:rPr>
          <w:rFonts w:hint="eastAsia" w:ascii="宋体" w:hAnsi="宋体" w:eastAsia="宋体" w:cs="宋体"/>
          <w:color w:val="auto"/>
          <w:sz w:val="24"/>
          <w:szCs w:val="24"/>
        </w:rPr>
      </w:pPr>
    </w:p>
    <w:p>
      <w:pPr>
        <w:pStyle w:val="3"/>
        <w:bidi w:val="0"/>
        <w:rPr>
          <w:rFonts w:hint="eastAsia" w:ascii="宋体" w:hAnsi="宋体" w:eastAsia="宋体" w:cs="宋体"/>
          <w:color w:val="auto"/>
          <w:lang w:val="en-US" w:eastAsia="zh-CN"/>
        </w:rPr>
      </w:pPr>
      <w:bookmarkStart w:id="159" w:name="_Toc31463"/>
      <w:bookmarkStart w:id="160" w:name="_Toc27212"/>
    </w:p>
    <w:p>
      <w:pPr>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pStyle w:val="3"/>
        <w:bidi w:val="0"/>
        <w:rPr>
          <w:rFonts w:hint="eastAsia" w:ascii="宋体" w:hAnsi="宋体" w:eastAsia="宋体" w:cs="宋体"/>
          <w:color w:val="auto"/>
          <w:lang w:val="en-US" w:eastAsia="zh-CN"/>
        </w:rPr>
      </w:pPr>
    </w:p>
    <w:bookmarkEnd w:id="159"/>
    <w:bookmarkEnd w:id="160"/>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--严重失信主体名单查询</w:t>
      </w:r>
      <w:r>
        <w:rPr>
          <w:rFonts w:hint="eastAsia" w:ascii="宋体" w:hAnsi="宋体" w:eastAsia="宋体" w:cs="宋体"/>
          <w:color w:val="auto"/>
          <w:sz w:val="24"/>
          <w:szCs w:val="24"/>
          <w:lang w:val="en-US" w:eastAsia="zh-CN"/>
        </w:rPr>
        <w:t>（若网站更新则用最新版截图）</w:t>
      </w:r>
    </w:p>
    <w:p>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--政府采购严重违法失信行为记录名单</w:t>
      </w:r>
      <w:r>
        <w:rPr>
          <w:rFonts w:hint="eastAsia" w:ascii="宋体" w:hAnsi="宋体" w:eastAsia="宋体" w:cs="宋体"/>
          <w:color w:val="auto"/>
          <w:sz w:val="24"/>
          <w:szCs w:val="24"/>
          <w:lang w:val="en-US" w:eastAsia="zh-CN"/>
        </w:rPr>
        <w:t>（若网站更新则用最新版截图）</w:t>
      </w:r>
    </w:p>
    <w:p>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--税收违法黑名单</w:t>
      </w:r>
      <w:r>
        <w:rPr>
          <w:rFonts w:hint="eastAsia" w:ascii="宋体" w:hAnsi="宋体" w:eastAsia="宋体" w:cs="宋体"/>
          <w:color w:val="auto"/>
          <w:sz w:val="24"/>
          <w:szCs w:val="24"/>
          <w:lang w:val="en-US" w:eastAsia="zh-CN"/>
        </w:rPr>
        <w:t>（若网站更新则用最新版截图）</w:t>
      </w:r>
    </w:p>
    <w:p>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8"/>
        </w:rPr>
      </w:pPr>
    </w:p>
    <w:p>
      <w:pPr>
        <w:jc w:val="left"/>
        <w:rPr>
          <w:rFonts w:hint="eastAsia" w:ascii="宋体" w:hAnsi="宋体" w:eastAsia="宋体" w:cs="宋体"/>
          <w:color w:val="auto"/>
          <w:sz w:val="28"/>
          <w:szCs w:val="20"/>
        </w:rPr>
      </w:pPr>
      <w:r>
        <w:rPr>
          <w:rFonts w:hint="eastAsia" w:ascii="宋体" w:hAnsi="宋体" w:eastAsia="宋体" w:cs="宋体"/>
          <w:color w:val="auto"/>
          <w:sz w:val="28"/>
          <w:szCs w:val="28"/>
        </w:rPr>
        <w:t>信用中国--</w:t>
      </w:r>
      <w:r>
        <w:rPr>
          <w:rFonts w:hint="eastAsia" w:ascii="宋体" w:hAnsi="宋体" w:eastAsia="宋体" w:cs="宋体"/>
          <w:color w:val="auto"/>
          <w:sz w:val="28"/>
          <w:szCs w:val="28"/>
          <w:lang w:eastAsia="zh-CN"/>
        </w:rPr>
        <w:t>信用服务</w:t>
      </w:r>
      <w:r>
        <w:rPr>
          <w:rFonts w:hint="eastAsia" w:ascii="宋体" w:hAnsi="宋体" w:eastAsia="宋体" w:cs="宋体"/>
          <w:color w:val="auto"/>
          <w:sz w:val="28"/>
          <w:szCs w:val="28"/>
          <w:lang w:val="en-US" w:eastAsia="zh-CN"/>
        </w:rPr>
        <w:t>--失信被执行人</w:t>
      </w:r>
      <w:r>
        <w:rPr>
          <w:rFonts w:hint="eastAsia" w:ascii="宋体" w:hAnsi="宋体" w:eastAsia="宋体" w:cs="宋体"/>
          <w:color w:val="auto"/>
          <w:sz w:val="24"/>
          <w:szCs w:val="24"/>
          <w:lang w:val="en-US" w:eastAsia="zh-CN"/>
        </w:rPr>
        <w:t>（若网站更新则用最新版截图）</w:t>
      </w:r>
    </w:p>
    <w:p>
      <w:pPr>
        <w:jc w:val="left"/>
        <w:rPr>
          <w:rFonts w:hint="eastAsia" w:ascii="宋体" w:hAnsi="宋体" w:eastAsia="宋体" w:cs="宋体"/>
          <w:color w:val="auto"/>
          <w:sz w:val="28"/>
          <w:szCs w:val="20"/>
        </w:rPr>
      </w:pPr>
      <w:r>
        <w:rPr>
          <w:rFonts w:hint="eastAsia" w:ascii="宋体" w:hAnsi="宋体" w:eastAsia="宋体" w:cs="宋体"/>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hint="eastAsia" w:ascii="宋体" w:hAnsi="宋体" w:eastAsia="宋体" w:cs="宋体"/>
          <w:color w:val="auto"/>
          <w:sz w:val="28"/>
          <w:szCs w:val="20"/>
        </w:rPr>
      </w:pPr>
    </w:p>
    <w:p>
      <w:pPr>
        <w:jc w:val="left"/>
        <w:rPr>
          <w:rFonts w:hint="eastAsia" w:ascii="宋体" w:hAnsi="宋体" w:eastAsia="宋体" w:cs="宋体"/>
          <w:color w:val="auto"/>
          <w:sz w:val="28"/>
          <w:szCs w:val="20"/>
        </w:rPr>
      </w:pPr>
    </w:p>
    <w:p>
      <w:pPr>
        <w:tabs>
          <w:tab w:val="left" w:pos="6300"/>
        </w:tabs>
        <w:snapToGrid w:val="0"/>
        <w:spacing w:line="360" w:lineRule="auto"/>
        <w:rPr>
          <w:rFonts w:hint="eastAsia" w:ascii="宋体" w:hAnsi="宋体" w:eastAsia="宋体" w:cs="宋体"/>
          <w:color w:val="auto"/>
          <w:sz w:val="28"/>
          <w:szCs w:val="20"/>
        </w:rPr>
      </w:pPr>
    </w:p>
    <w:p>
      <w:pPr>
        <w:tabs>
          <w:tab w:val="left" w:pos="6300"/>
        </w:tabs>
        <w:snapToGrid w:val="0"/>
        <w:spacing w:line="360" w:lineRule="auto"/>
        <w:rPr>
          <w:rFonts w:hint="eastAsia" w:ascii="宋体" w:hAnsi="宋体" w:eastAsia="宋体" w:cs="宋体"/>
          <w:color w:val="auto"/>
          <w:sz w:val="28"/>
          <w:szCs w:val="20"/>
        </w:rPr>
      </w:pPr>
    </w:p>
    <w:p>
      <w:pPr>
        <w:tabs>
          <w:tab w:val="left" w:pos="6300"/>
        </w:tabs>
        <w:snapToGrid w:val="0"/>
        <w:spacing w:line="360" w:lineRule="auto"/>
        <w:rPr>
          <w:rFonts w:hint="eastAsia" w:ascii="宋体" w:hAnsi="宋体" w:eastAsia="宋体" w:cs="宋体"/>
          <w:color w:val="auto"/>
          <w:sz w:val="28"/>
          <w:szCs w:val="20"/>
        </w:rPr>
      </w:pPr>
    </w:p>
    <w:p>
      <w:pPr>
        <w:tabs>
          <w:tab w:val="left" w:pos="6300"/>
        </w:tabs>
        <w:snapToGrid w:val="0"/>
        <w:spacing w:line="360" w:lineRule="auto"/>
        <w:rPr>
          <w:rFonts w:hint="eastAsia" w:ascii="宋体" w:hAnsi="宋体" w:eastAsia="宋体" w:cs="宋体"/>
          <w:color w:val="auto"/>
          <w:sz w:val="28"/>
          <w:szCs w:val="20"/>
        </w:rPr>
      </w:pPr>
    </w:p>
    <w:p>
      <w:pPr>
        <w:tabs>
          <w:tab w:val="left" w:pos="6300"/>
        </w:tabs>
        <w:snapToGrid w:val="0"/>
        <w:spacing w:line="360" w:lineRule="auto"/>
        <w:rPr>
          <w:rFonts w:hint="eastAsia" w:ascii="宋体" w:hAnsi="宋体" w:eastAsia="宋体" w:cs="宋体"/>
          <w:color w:val="auto"/>
          <w:sz w:val="28"/>
          <w:szCs w:val="20"/>
        </w:rPr>
      </w:pPr>
    </w:p>
    <w:p>
      <w:pPr>
        <w:pageBreakBefore/>
        <w:tabs>
          <w:tab w:val="left" w:pos="6300"/>
        </w:tabs>
        <w:snapToGrid w:val="0"/>
        <w:spacing w:line="480" w:lineRule="exact"/>
        <w:outlineLvl w:val="0"/>
        <w:rPr>
          <w:rFonts w:hint="eastAsia" w:ascii="宋体" w:hAnsi="宋体" w:eastAsia="宋体" w:cs="宋体"/>
          <w:b/>
          <w:color w:val="auto"/>
        </w:rPr>
      </w:pPr>
      <w:r>
        <w:rPr>
          <w:rFonts w:hint="eastAsia" w:ascii="宋体" w:hAnsi="宋体" w:eastAsia="宋体" w:cs="宋体"/>
          <w:b/>
          <w:color w:val="auto"/>
        </w:rPr>
        <w:t>其他资料</w:t>
      </w:r>
    </w:p>
    <w:p>
      <w:pPr>
        <w:rPr>
          <w:rFonts w:hint="eastAsia" w:ascii="宋体" w:hAnsi="宋体" w:eastAsia="宋体" w:cs="宋体"/>
          <w:color w:val="auto"/>
        </w:rPr>
      </w:pPr>
      <w:r>
        <w:rPr>
          <w:rFonts w:hint="eastAsia" w:ascii="宋体" w:hAnsi="宋体" w:eastAsia="宋体" w:cs="宋体"/>
          <w:color w:val="auto"/>
          <w:szCs w:val="28"/>
        </w:rPr>
        <w:t>（一）中小微企业声明函、监狱企业证明文件、残疾人福利性单位声明函</w:t>
      </w:r>
    </w:p>
    <w:p>
      <w:pPr>
        <w:jc w:val="center"/>
        <w:rPr>
          <w:rFonts w:hint="eastAsia" w:ascii="宋体" w:hAnsi="宋体" w:eastAsia="宋体" w:cs="宋体"/>
          <w:color w:val="auto"/>
          <w:sz w:val="32"/>
          <w:szCs w:val="32"/>
        </w:rPr>
      </w:pPr>
      <w:r>
        <w:rPr>
          <w:rFonts w:hint="eastAsia" w:ascii="宋体" w:hAnsi="宋体" w:eastAsia="宋体" w:cs="宋体"/>
          <w:color w:val="auto"/>
          <w:sz w:val="32"/>
          <w:szCs w:val="32"/>
        </w:rPr>
        <w:t>中小微企业声明函</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本公司郑重声明，根据《政府采购促进中小企业发展管理办法》（财库〔2020〕46号）的规定，本公司参加</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i/>
          <w:color w:val="auto"/>
          <w:sz w:val="24"/>
          <w:szCs w:val="24"/>
          <w:u w:val="single"/>
        </w:rPr>
        <w:t>（项目名称）</w:t>
      </w:r>
      <w:r>
        <w:rPr>
          <w:rFonts w:hint="eastAsia" w:ascii="宋体" w:hAnsi="宋体" w:eastAsia="宋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rPr>
        <w:t xml:space="preserve">，属于（工业 ）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 xml:space="preserve">；承接企业为  </w:t>
      </w:r>
      <w:r>
        <w:rPr>
          <w:rFonts w:hint="eastAsia" w:ascii="宋体" w:hAnsi="宋体" w:eastAsia="宋体" w:cs="宋体"/>
          <w:color w:val="auto"/>
          <w:sz w:val="24"/>
          <w:szCs w:val="24"/>
          <w:u w:val="single"/>
        </w:rPr>
        <w:t xml:space="preserve">                       </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    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r>
        <w:rPr>
          <w:rFonts w:hint="eastAsia" w:ascii="宋体" w:hAnsi="宋体" w:eastAsia="宋体" w:cs="宋体"/>
          <w:i/>
          <w:color w:val="auto"/>
          <w:sz w:val="24"/>
          <w:szCs w:val="24"/>
        </w:rPr>
        <w:t>（中型企业、小型企业、微型企业）</w:t>
      </w:r>
      <w:r>
        <w:rPr>
          <w:rFonts w:hint="eastAsia" w:ascii="宋体" w:hAnsi="宋体" w:eastAsia="宋体" w:cs="宋体"/>
          <w:color w:val="auto"/>
          <w:sz w:val="24"/>
          <w:szCs w:val="24"/>
        </w:rPr>
        <w:t>；</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i/>
          <w:color w:val="auto"/>
          <w:sz w:val="24"/>
          <w:szCs w:val="24"/>
          <w:u w:val="single"/>
        </w:rPr>
        <w:t xml:space="preserve"> （</w:t>
      </w:r>
      <w:r>
        <w:rPr>
          <w:rFonts w:hint="eastAsia" w:ascii="宋体" w:hAnsi="宋体" w:eastAsia="宋体" w:cs="宋体"/>
          <w:color w:val="auto"/>
          <w:sz w:val="24"/>
          <w:szCs w:val="24"/>
          <w:u w:val="single"/>
        </w:rPr>
        <w:t>重庆医科大学附属永川医院</w:t>
      </w:r>
      <w:r>
        <w:rPr>
          <w:rFonts w:hint="eastAsia" w:ascii="宋体" w:hAnsi="宋体" w:eastAsia="宋体" w:cs="宋体"/>
          <w:i/>
          <w:color w:val="auto"/>
          <w:sz w:val="24"/>
          <w:szCs w:val="24"/>
          <w:u w:val="single"/>
        </w:rPr>
        <w:t>***</w:t>
      </w:r>
      <w:r>
        <w:rPr>
          <w:rFonts w:hint="eastAsia" w:ascii="宋体" w:hAnsi="宋体" w:eastAsia="宋体" w:cs="宋体"/>
          <w:color w:val="auto"/>
          <w:sz w:val="24"/>
          <w:szCs w:val="24"/>
          <w:u w:val="single"/>
        </w:rPr>
        <w:t>项目）</w:t>
      </w:r>
      <w:r>
        <w:rPr>
          <w:rFonts w:hint="eastAsia" w:ascii="宋体" w:hAnsi="宋体" w:eastAsia="宋体" w:cs="宋体"/>
          <w:color w:val="auto"/>
          <w:sz w:val="24"/>
          <w:szCs w:val="24"/>
        </w:rPr>
        <w:t>，属于（   ）</w:t>
      </w:r>
      <w:r>
        <w:rPr>
          <w:rFonts w:hint="eastAsia" w:ascii="宋体" w:hAnsi="宋体" w:eastAsia="宋体" w:cs="宋体"/>
          <w:i/>
          <w:color w:val="auto"/>
          <w:sz w:val="24"/>
          <w:szCs w:val="24"/>
          <w:u w:val="single"/>
        </w:rPr>
        <w:t>（采购文件中明确的所属行业）</w:t>
      </w:r>
      <w:r>
        <w:rPr>
          <w:rFonts w:hint="eastAsia" w:ascii="宋体" w:hAnsi="宋体" w:eastAsia="宋体" w:cs="宋体"/>
          <w:color w:val="auto"/>
          <w:sz w:val="24"/>
          <w:szCs w:val="24"/>
        </w:rPr>
        <w:t>；承接企业为</w:t>
      </w:r>
      <w:r>
        <w:rPr>
          <w:rFonts w:hint="eastAsia" w:ascii="宋体" w:hAnsi="宋体" w:eastAsia="宋体" w:cs="宋体"/>
          <w:i/>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      ）</w:t>
      </w:r>
      <w:r>
        <w:rPr>
          <w:rFonts w:hint="eastAsia" w:ascii="宋体" w:hAnsi="宋体" w:eastAsia="宋体" w:cs="宋体"/>
          <w:i/>
          <w:color w:val="auto"/>
          <w:sz w:val="24"/>
          <w:szCs w:val="24"/>
          <w:u w:val="single"/>
        </w:rPr>
        <w:t>（中型企业、小型企业、微型企业）</w:t>
      </w:r>
      <w:r>
        <w:rPr>
          <w:rFonts w:hint="eastAsia" w:ascii="宋体" w:hAnsi="宋体" w:eastAsia="宋体" w:cs="宋体"/>
          <w:color w:val="auto"/>
          <w:sz w:val="24"/>
          <w:szCs w:val="24"/>
        </w:rPr>
        <w:t>；</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为本标的提供的服务人员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人，其中与本企业签订劳动合同</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人，其他人员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tabs>
          <w:tab w:val="left" w:pos="6300"/>
        </w:tabs>
        <w:snapToGrid w:val="0"/>
        <w:spacing w:line="500" w:lineRule="exact"/>
        <w:ind w:firstLine="3120" w:firstLineChars="1300"/>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企业名称（盖章）： </w:t>
      </w:r>
    </w:p>
    <w:p>
      <w:pPr>
        <w:tabs>
          <w:tab w:val="left" w:pos="6300"/>
        </w:tabs>
        <w:snapToGrid w:val="0"/>
        <w:spacing w:line="500" w:lineRule="exact"/>
        <w:ind w:firstLine="3600" w:firstLineChars="1500"/>
        <w:rPr>
          <w:rFonts w:hint="eastAsia" w:ascii="宋体" w:hAnsi="宋体" w:eastAsia="宋体" w:cs="宋体"/>
          <w:color w:val="auto"/>
          <w:sz w:val="24"/>
          <w:szCs w:val="24"/>
        </w:rPr>
      </w:pPr>
      <w:r>
        <w:rPr>
          <w:rFonts w:hint="eastAsia" w:ascii="宋体" w:hAnsi="宋体" w:eastAsia="宋体" w:cs="宋体"/>
          <w:color w:val="auto"/>
          <w:sz w:val="24"/>
          <w:szCs w:val="24"/>
        </w:rPr>
        <w:t>日期：</w:t>
      </w: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p>
    <w:p>
      <w:pPr>
        <w:tabs>
          <w:tab w:val="left" w:pos="6300"/>
        </w:tabs>
        <w:snapToGrid w:val="0"/>
        <w:spacing w:line="4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填写时应注意以下事项：</w:t>
      </w:r>
    </w:p>
    <w:p>
      <w:pPr>
        <w:tabs>
          <w:tab w:val="left" w:pos="6300"/>
        </w:tabs>
        <w:snapToGrid w:val="0"/>
        <w:spacing w:line="42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宋体" w:hAnsi="宋体" w:eastAsia="宋体" w:cs="宋体"/>
          <w:b/>
          <w:color w:val="auto"/>
          <w:kern w:val="0"/>
          <w:sz w:val="24"/>
          <w:szCs w:val="24"/>
          <w:u w:val="single"/>
        </w:rPr>
      </w:pPr>
      <w:r>
        <w:rPr>
          <w:rFonts w:hint="eastAsia" w:ascii="宋体" w:hAnsi="宋体" w:eastAsia="宋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注：各行业划型标准：</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p>
    <w:p>
      <w:pPr>
        <w:ind w:firstLine="640" w:firstLineChars="200"/>
        <w:jc w:val="center"/>
        <w:rPr>
          <w:rFonts w:hint="eastAsia" w:ascii="宋体" w:hAnsi="宋体" w:eastAsia="宋体" w:cs="宋体"/>
          <w:color w:val="auto"/>
          <w:sz w:val="32"/>
          <w:szCs w:val="32"/>
        </w:rPr>
      </w:pPr>
      <w:r>
        <w:rPr>
          <w:rFonts w:hint="eastAsia" w:ascii="宋体" w:hAnsi="宋体" w:eastAsia="宋体" w:cs="宋体"/>
          <w:color w:val="auto"/>
          <w:sz w:val="32"/>
          <w:szCs w:val="32"/>
        </w:rPr>
        <w:t>监狱企业证明文件</w:t>
      </w:r>
    </w:p>
    <w:p>
      <w:pPr>
        <w:ind w:firstLine="480" w:firstLineChars="200"/>
        <w:jc w:val="left"/>
        <w:rPr>
          <w:rFonts w:hint="eastAsia" w:ascii="宋体" w:hAnsi="宋体" w:eastAsia="宋体" w:cs="宋体"/>
          <w:color w:val="auto"/>
        </w:rPr>
      </w:pPr>
      <w:r>
        <w:rPr>
          <w:rFonts w:hint="eastAsia" w:ascii="宋体" w:hAnsi="宋体" w:eastAsia="宋体" w:cs="宋体"/>
          <w:color w:val="auto"/>
          <w:sz w:val="24"/>
        </w:rPr>
        <w:t>以省级以上监狱管理局、戒毒管理局（含新疆生产建设兵团）出具的属于监狱企业的证明文件为准。</w:t>
      </w:r>
    </w:p>
    <w:p>
      <w:pPr>
        <w:ind w:firstLine="420" w:firstLineChars="200"/>
        <w:jc w:val="center"/>
        <w:rPr>
          <w:rFonts w:hint="eastAsia" w:ascii="宋体" w:hAnsi="宋体" w:eastAsia="宋体" w:cs="宋体"/>
          <w:color w:val="auto"/>
          <w:sz w:val="32"/>
          <w:szCs w:val="32"/>
        </w:rPr>
      </w:pPr>
      <w:r>
        <w:rPr>
          <w:rFonts w:hint="eastAsia" w:ascii="宋体" w:hAnsi="宋体" w:eastAsia="宋体" w:cs="宋体"/>
          <w:color w:val="auto"/>
        </w:rPr>
        <w:br w:type="page"/>
      </w:r>
      <w:r>
        <w:rPr>
          <w:rFonts w:hint="eastAsia" w:ascii="宋体" w:hAnsi="宋体" w:eastAsia="宋体" w:cs="宋体"/>
          <w:color w:val="auto"/>
          <w:sz w:val="32"/>
          <w:szCs w:val="32"/>
        </w:rPr>
        <w:t>残疾人福利性单位声明函</w:t>
      </w:r>
    </w:p>
    <w:p>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宋体" w:hAnsi="宋体" w:eastAsia="宋体" w:cs="宋体"/>
          <w:color w:val="auto"/>
          <w:sz w:val="24"/>
        </w:rPr>
      </w:pPr>
    </w:p>
    <w:p>
      <w:pPr>
        <w:tabs>
          <w:tab w:val="left" w:pos="6300"/>
        </w:tabs>
        <w:snapToGrid w:val="0"/>
        <w:spacing w:line="500" w:lineRule="exact"/>
        <w:ind w:firstLine="480" w:firstLineChars="200"/>
        <w:rPr>
          <w:rFonts w:hint="eastAsia" w:ascii="宋体" w:hAnsi="宋体" w:eastAsia="宋体" w:cs="宋体"/>
          <w:color w:val="auto"/>
          <w:sz w:val="24"/>
        </w:rPr>
      </w:pPr>
    </w:p>
    <w:p>
      <w:pPr>
        <w:tabs>
          <w:tab w:val="left" w:pos="6300"/>
        </w:tabs>
        <w:snapToGrid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供应商名称（盖章）：</w:t>
      </w:r>
    </w:p>
    <w:p>
      <w:pPr>
        <w:jc w:val="center"/>
        <w:rPr>
          <w:rFonts w:hint="eastAsia" w:ascii="宋体" w:hAnsi="宋体" w:eastAsia="宋体" w:cs="宋体"/>
          <w:color w:val="auto"/>
        </w:rPr>
      </w:pPr>
      <w:r>
        <w:rPr>
          <w:rFonts w:hint="eastAsia" w:ascii="宋体" w:hAnsi="宋体" w:eastAsia="宋体" w:cs="宋体"/>
          <w:color w:val="auto"/>
          <w:sz w:val="24"/>
        </w:rPr>
        <w:t xml:space="preserve">                                                  日  期：</w:t>
      </w:r>
    </w:p>
    <w:p>
      <w:pPr>
        <w:rPr>
          <w:rFonts w:hint="eastAsia" w:ascii="宋体" w:hAnsi="宋体" w:eastAsia="宋体" w:cs="宋体"/>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1" w:fontKey="{55308EF2-CE96-4256-8D18-2E7397AD5C34}"/>
  </w:font>
  <w:font w:name="MS Shell Dlg">
    <w:altName w:val="Microsoft Sans Serif"/>
    <w:panose1 w:val="020B0604020202020204"/>
    <w:charset w:val="00"/>
    <w:family w:val="swiss"/>
    <w:pitch w:val="default"/>
    <w:sig w:usb0="00000000" w:usb1="00000000" w:usb2="00000008" w:usb3="00000000" w:csb0="000101FF" w:csb1="00000000"/>
    <w:embedRegular r:id="rId2" w:fontKey="{BAA4DE74-92CE-4DA8-BF28-45A6EEC04005}"/>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8D4F6C"/>
    <w:rsid w:val="04DA26C6"/>
    <w:rsid w:val="05E64439"/>
    <w:rsid w:val="05E94CDF"/>
    <w:rsid w:val="06A45EA9"/>
    <w:rsid w:val="06BC1BB0"/>
    <w:rsid w:val="074B1659"/>
    <w:rsid w:val="07911761"/>
    <w:rsid w:val="07C5765D"/>
    <w:rsid w:val="07F26429"/>
    <w:rsid w:val="084C34CD"/>
    <w:rsid w:val="0ACF458A"/>
    <w:rsid w:val="0B6F68C5"/>
    <w:rsid w:val="0BAE21B6"/>
    <w:rsid w:val="0BDC31C7"/>
    <w:rsid w:val="0BE1258C"/>
    <w:rsid w:val="0C033E70"/>
    <w:rsid w:val="0C3152C1"/>
    <w:rsid w:val="0C931BB2"/>
    <w:rsid w:val="0C975B64"/>
    <w:rsid w:val="0C9D3992"/>
    <w:rsid w:val="0CBB4444"/>
    <w:rsid w:val="0DC167EC"/>
    <w:rsid w:val="0E0E625A"/>
    <w:rsid w:val="0E4D3D6E"/>
    <w:rsid w:val="0E5721EA"/>
    <w:rsid w:val="0E5A796A"/>
    <w:rsid w:val="0E5B6625"/>
    <w:rsid w:val="0E9859A3"/>
    <w:rsid w:val="0ECE4584"/>
    <w:rsid w:val="0F291536"/>
    <w:rsid w:val="0FAB0EE6"/>
    <w:rsid w:val="0FC701EB"/>
    <w:rsid w:val="0FD61CDB"/>
    <w:rsid w:val="10246EEB"/>
    <w:rsid w:val="10413B50"/>
    <w:rsid w:val="104D689B"/>
    <w:rsid w:val="109D57E0"/>
    <w:rsid w:val="10BF5E9B"/>
    <w:rsid w:val="131D034D"/>
    <w:rsid w:val="134E0964"/>
    <w:rsid w:val="13653AA2"/>
    <w:rsid w:val="13F41DC8"/>
    <w:rsid w:val="14B95EDB"/>
    <w:rsid w:val="14C6168E"/>
    <w:rsid w:val="14C6556D"/>
    <w:rsid w:val="1554725E"/>
    <w:rsid w:val="15604521"/>
    <w:rsid w:val="158D32E0"/>
    <w:rsid w:val="17E52B34"/>
    <w:rsid w:val="18130842"/>
    <w:rsid w:val="18465822"/>
    <w:rsid w:val="18675712"/>
    <w:rsid w:val="19394057"/>
    <w:rsid w:val="19B7492C"/>
    <w:rsid w:val="1A511E59"/>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CE723D"/>
    <w:rsid w:val="20084BEF"/>
    <w:rsid w:val="203372B2"/>
    <w:rsid w:val="204C6181"/>
    <w:rsid w:val="20FB0BC7"/>
    <w:rsid w:val="2114239C"/>
    <w:rsid w:val="21C45BE8"/>
    <w:rsid w:val="21F678C9"/>
    <w:rsid w:val="21F94F0D"/>
    <w:rsid w:val="224F1BA5"/>
    <w:rsid w:val="231132FF"/>
    <w:rsid w:val="23743B1F"/>
    <w:rsid w:val="240C0392"/>
    <w:rsid w:val="254D6667"/>
    <w:rsid w:val="25B67319"/>
    <w:rsid w:val="25B7688A"/>
    <w:rsid w:val="25B91E1A"/>
    <w:rsid w:val="26380176"/>
    <w:rsid w:val="26A440C8"/>
    <w:rsid w:val="26FE2E6F"/>
    <w:rsid w:val="271D1BBB"/>
    <w:rsid w:val="271E4A07"/>
    <w:rsid w:val="275D539C"/>
    <w:rsid w:val="282105EF"/>
    <w:rsid w:val="28377F6C"/>
    <w:rsid w:val="287535CD"/>
    <w:rsid w:val="28CD4235"/>
    <w:rsid w:val="28D01566"/>
    <w:rsid w:val="28E31299"/>
    <w:rsid w:val="29430470"/>
    <w:rsid w:val="2B3D6767"/>
    <w:rsid w:val="2B57565F"/>
    <w:rsid w:val="2BBD2276"/>
    <w:rsid w:val="2C812A23"/>
    <w:rsid w:val="2CF2794B"/>
    <w:rsid w:val="2E4A05E4"/>
    <w:rsid w:val="2F1F1F02"/>
    <w:rsid w:val="2F2348BD"/>
    <w:rsid w:val="2F6F1AD9"/>
    <w:rsid w:val="2F943FCB"/>
    <w:rsid w:val="2FD06C0B"/>
    <w:rsid w:val="30A44277"/>
    <w:rsid w:val="30B15F03"/>
    <w:rsid w:val="31CA4358"/>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356A2E"/>
    <w:rsid w:val="38442273"/>
    <w:rsid w:val="38C010B0"/>
    <w:rsid w:val="38E86458"/>
    <w:rsid w:val="38EB2B69"/>
    <w:rsid w:val="391C67AE"/>
    <w:rsid w:val="39486CC3"/>
    <w:rsid w:val="39A3534F"/>
    <w:rsid w:val="39D65068"/>
    <w:rsid w:val="3AA25DEC"/>
    <w:rsid w:val="3B30241A"/>
    <w:rsid w:val="3B5B756F"/>
    <w:rsid w:val="3B870893"/>
    <w:rsid w:val="3C4F6F1A"/>
    <w:rsid w:val="3D1617E6"/>
    <w:rsid w:val="3D4C1E7B"/>
    <w:rsid w:val="3DD60FEB"/>
    <w:rsid w:val="3E263CAA"/>
    <w:rsid w:val="3E491747"/>
    <w:rsid w:val="3E6B192F"/>
    <w:rsid w:val="3EA55BAC"/>
    <w:rsid w:val="3EEF12C4"/>
    <w:rsid w:val="3F591E5E"/>
    <w:rsid w:val="3FC45529"/>
    <w:rsid w:val="40113C23"/>
    <w:rsid w:val="403F2E01"/>
    <w:rsid w:val="404A2E64"/>
    <w:rsid w:val="40AB0EC9"/>
    <w:rsid w:val="40E52488"/>
    <w:rsid w:val="41007A8F"/>
    <w:rsid w:val="415869FC"/>
    <w:rsid w:val="41670862"/>
    <w:rsid w:val="41AB14E8"/>
    <w:rsid w:val="41D4500D"/>
    <w:rsid w:val="41D67141"/>
    <w:rsid w:val="41F534A6"/>
    <w:rsid w:val="42030507"/>
    <w:rsid w:val="420A020E"/>
    <w:rsid w:val="428345E9"/>
    <w:rsid w:val="429D5EC0"/>
    <w:rsid w:val="437470EA"/>
    <w:rsid w:val="444565A3"/>
    <w:rsid w:val="447A6AFE"/>
    <w:rsid w:val="45AC0F39"/>
    <w:rsid w:val="461B60BF"/>
    <w:rsid w:val="46C96141"/>
    <w:rsid w:val="46D06FAA"/>
    <w:rsid w:val="475461C4"/>
    <w:rsid w:val="477A0BC3"/>
    <w:rsid w:val="47F3755A"/>
    <w:rsid w:val="482B71EF"/>
    <w:rsid w:val="48FA020D"/>
    <w:rsid w:val="492C6FBB"/>
    <w:rsid w:val="499D1F70"/>
    <w:rsid w:val="4A1025A8"/>
    <w:rsid w:val="4AC26B09"/>
    <w:rsid w:val="4AD41B9B"/>
    <w:rsid w:val="4AED1C9D"/>
    <w:rsid w:val="4BE8259F"/>
    <w:rsid w:val="4C4E289A"/>
    <w:rsid w:val="4DD75684"/>
    <w:rsid w:val="4E0D2518"/>
    <w:rsid w:val="4E231003"/>
    <w:rsid w:val="4EF70D4B"/>
    <w:rsid w:val="4F2E0C11"/>
    <w:rsid w:val="4F79418A"/>
    <w:rsid w:val="50B9275C"/>
    <w:rsid w:val="50F72CC9"/>
    <w:rsid w:val="50FE286B"/>
    <w:rsid w:val="514069D9"/>
    <w:rsid w:val="51932220"/>
    <w:rsid w:val="51D77CAA"/>
    <w:rsid w:val="529620AE"/>
    <w:rsid w:val="52ED493F"/>
    <w:rsid w:val="531F0FF7"/>
    <w:rsid w:val="53B56AAB"/>
    <w:rsid w:val="53E03D6D"/>
    <w:rsid w:val="546107D9"/>
    <w:rsid w:val="55297C80"/>
    <w:rsid w:val="56644F18"/>
    <w:rsid w:val="56FF2E93"/>
    <w:rsid w:val="58625BCC"/>
    <w:rsid w:val="58B574EB"/>
    <w:rsid w:val="58FC1D80"/>
    <w:rsid w:val="593509FB"/>
    <w:rsid w:val="59893E96"/>
    <w:rsid w:val="599D432B"/>
    <w:rsid w:val="59E56370"/>
    <w:rsid w:val="5B3E21DC"/>
    <w:rsid w:val="5B4A5024"/>
    <w:rsid w:val="5BC414F3"/>
    <w:rsid w:val="5CAE15E3"/>
    <w:rsid w:val="5D290C69"/>
    <w:rsid w:val="5D78609D"/>
    <w:rsid w:val="5E36741C"/>
    <w:rsid w:val="5F3F2DAC"/>
    <w:rsid w:val="5FB15C3A"/>
    <w:rsid w:val="6022194E"/>
    <w:rsid w:val="606E5CB4"/>
    <w:rsid w:val="60980BFD"/>
    <w:rsid w:val="60D65D3F"/>
    <w:rsid w:val="60F4333C"/>
    <w:rsid w:val="611A50B4"/>
    <w:rsid w:val="619C43F3"/>
    <w:rsid w:val="6269072D"/>
    <w:rsid w:val="62A30CCB"/>
    <w:rsid w:val="6352606D"/>
    <w:rsid w:val="639436E3"/>
    <w:rsid w:val="645A13DB"/>
    <w:rsid w:val="656A40F1"/>
    <w:rsid w:val="667E25AF"/>
    <w:rsid w:val="66815672"/>
    <w:rsid w:val="67CB3049"/>
    <w:rsid w:val="67FF2A16"/>
    <w:rsid w:val="6972525B"/>
    <w:rsid w:val="69C211FB"/>
    <w:rsid w:val="69FC5E8B"/>
    <w:rsid w:val="6A16113C"/>
    <w:rsid w:val="6B217424"/>
    <w:rsid w:val="6B28360F"/>
    <w:rsid w:val="6B9F4D55"/>
    <w:rsid w:val="6BAA3DD9"/>
    <w:rsid w:val="6C172D01"/>
    <w:rsid w:val="6D342244"/>
    <w:rsid w:val="6DAB4CCB"/>
    <w:rsid w:val="6DC70D5C"/>
    <w:rsid w:val="6E45126B"/>
    <w:rsid w:val="6F062BB9"/>
    <w:rsid w:val="6F213E8F"/>
    <w:rsid w:val="70E64A50"/>
    <w:rsid w:val="71231A63"/>
    <w:rsid w:val="73614D85"/>
    <w:rsid w:val="739465A0"/>
    <w:rsid w:val="73B34AD5"/>
    <w:rsid w:val="74E41D61"/>
    <w:rsid w:val="76AB3551"/>
    <w:rsid w:val="77452BA0"/>
    <w:rsid w:val="774923FD"/>
    <w:rsid w:val="77B52272"/>
    <w:rsid w:val="783A1618"/>
    <w:rsid w:val="788222E3"/>
    <w:rsid w:val="7908485F"/>
    <w:rsid w:val="7936053E"/>
    <w:rsid w:val="793F0B2C"/>
    <w:rsid w:val="797D07AB"/>
    <w:rsid w:val="79AC25AE"/>
    <w:rsid w:val="7AAC0A0E"/>
    <w:rsid w:val="7B306E47"/>
    <w:rsid w:val="7B8C6B3B"/>
    <w:rsid w:val="7BD77DB7"/>
    <w:rsid w:val="7C3F595C"/>
    <w:rsid w:val="7C683BAE"/>
    <w:rsid w:val="7CBD0742"/>
    <w:rsid w:val="7D394E5A"/>
    <w:rsid w:val="7D7D55A3"/>
    <w:rsid w:val="7E3C60AD"/>
    <w:rsid w:val="7E4A153E"/>
    <w:rsid w:val="7E781FEE"/>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16276</Words>
  <Characters>17102</Characters>
  <Lines>182</Lines>
  <Paragraphs>51</Paragraphs>
  <TotalTime>2</TotalTime>
  <ScaleCrop>false</ScaleCrop>
  <LinksUpToDate>false</LinksUpToDate>
  <CharactersWithSpaces>18308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2024-06-19T12:09:30Z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D90EFDEDCD294DEAB041A069E42458C9</vt:lpwstr>
  </property>
</Properties>
</file>