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rPr>
          <w:rFonts w:ascii="宋体" w:hAnsi="宋体" w:eastAsia="宋体" w:cs="Times New Roman"/>
          <w:color w:val="auto"/>
          <w:sz w:val="28"/>
          <w:szCs w:val="20"/>
        </w:rPr>
      </w:pPr>
    </w:p>
    <w:p>
      <w:pPr>
        <w:jc w:val="center"/>
        <w:outlineLvl w:val="0"/>
        <w:rPr>
          <w:rFonts w:ascii="方正小标宋简体" w:hAnsi="宋体" w:eastAsia="方正小标宋简体"/>
          <w:color w:val="auto"/>
          <w:sz w:val="44"/>
          <w:szCs w:val="44"/>
        </w:rPr>
      </w:pPr>
      <w:r>
        <w:rPr>
          <w:rFonts w:hint="eastAsia" w:ascii="方正小标宋简体" w:hAnsi="宋体" w:eastAsia="方正小标宋简体"/>
          <w:color w:val="auto"/>
          <w:sz w:val="44"/>
          <w:szCs w:val="44"/>
        </w:rPr>
        <w:t>重庆医科大学附属永川医院</w:t>
      </w:r>
    </w:p>
    <w:p>
      <w:pPr>
        <w:jc w:val="center"/>
        <w:outlineLvl w:val="0"/>
        <w:rPr>
          <w:rFonts w:ascii="方正小标宋简体" w:hAnsi="宋体" w:eastAsia="方正小标宋简体"/>
          <w:color w:val="auto"/>
          <w:sz w:val="44"/>
          <w:szCs w:val="44"/>
        </w:rPr>
      </w:pPr>
    </w:p>
    <w:p>
      <w:pPr>
        <w:jc w:val="center"/>
        <w:outlineLvl w:val="0"/>
        <w:rPr>
          <w:rFonts w:ascii="方正黑体_GBK" w:hAnsi="宋体" w:eastAsia="方正黑体_GBK" w:cs="Times New Roman"/>
          <w:color w:val="auto"/>
          <w:spacing w:val="80"/>
          <w:sz w:val="44"/>
          <w:szCs w:val="44"/>
        </w:rPr>
      </w:pPr>
    </w:p>
    <w:p>
      <w:pPr>
        <w:jc w:val="center"/>
        <w:outlineLvl w:val="0"/>
        <w:rPr>
          <w:rFonts w:ascii="方正黑体_GBK" w:hAnsi="宋体" w:eastAsia="方正黑体_GBK" w:cs="Times New Roman"/>
          <w:color w:val="auto"/>
          <w:spacing w:val="80"/>
          <w:sz w:val="44"/>
          <w:szCs w:val="44"/>
        </w:rPr>
      </w:pPr>
      <w:r>
        <w:rPr>
          <w:rFonts w:hint="eastAsia" w:ascii="方正黑体_GBK" w:hAnsi="宋体" w:eastAsia="方正黑体_GBK" w:cs="Times New Roman"/>
          <w:color w:val="auto"/>
          <w:spacing w:val="80"/>
          <w:sz w:val="44"/>
          <w:szCs w:val="44"/>
        </w:rPr>
        <w:t>比选文件</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default" w:ascii="方正小标宋_GBK" w:hAnsi="宋体" w:eastAsia="方正小标宋_GBK" w:cs="Times New Roman"/>
          <w:color w:val="auto"/>
          <w:sz w:val="28"/>
          <w:szCs w:val="28"/>
          <w:lang w:val="en-US" w:eastAsia="zh-CN"/>
        </w:rPr>
      </w:pPr>
      <w:r>
        <w:rPr>
          <w:rFonts w:hint="eastAsia" w:ascii="方正小标宋_GBK" w:hAnsi="宋体" w:eastAsia="方正小标宋_GBK" w:cs="Times New Roman"/>
          <w:color w:val="auto"/>
          <w:sz w:val="28"/>
          <w:szCs w:val="28"/>
        </w:rPr>
        <w:t>项目编号：</w:t>
      </w:r>
      <w:r>
        <w:rPr>
          <w:rFonts w:hint="eastAsia" w:ascii="方正小标宋_GBK" w:hAnsi="宋体" w:eastAsia="方正小标宋_GBK" w:cs="Times New Roman"/>
          <w:color w:val="auto"/>
          <w:sz w:val="28"/>
          <w:szCs w:val="28"/>
          <w:lang w:val="en-US" w:eastAsia="zh-CN"/>
        </w:rPr>
        <w:t>2024FW018</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项目名称：</w:t>
      </w:r>
      <w:r>
        <w:rPr>
          <w:rFonts w:hint="eastAsia" w:ascii="方正小标宋_GBK" w:hAnsi="宋体" w:eastAsia="方正小标宋_GBK" w:cs="Times New Roman"/>
          <w:color w:val="auto"/>
          <w:sz w:val="28"/>
          <w:szCs w:val="28"/>
          <w:lang w:val="en-US" w:eastAsia="zh-CN"/>
        </w:rPr>
        <w:t>可回收垃圾收购处置服务</w:t>
      </w:r>
    </w:p>
    <w:p>
      <w:pPr>
        <w:spacing w:line="700" w:lineRule="exact"/>
        <w:ind w:firstLine="840" w:firstLineChars="300"/>
        <w:rPr>
          <w:rFonts w:ascii="方正小标宋_GBK" w:hAnsi="宋体" w:eastAsia="方正小标宋_GBK" w:cs="Times New Roman"/>
          <w:color w:val="auto"/>
          <w:sz w:val="28"/>
          <w:szCs w:val="28"/>
        </w:rPr>
      </w:pPr>
      <w:r>
        <w:rPr>
          <w:rFonts w:hint="eastAsia" w:ascii="方正小标宋_GBK" w:hAnsi="宋体" w:eastAsia="方正小标宋_GBK" w:cs="Times New Roman"/>
          <w:color w:val="auto"/>
          <w:sz w:val="28"/>
          <w:szCs w:val="28"/>
        </w:rPr>
        <w:t xml:space="preserve">      </w:t>
      </w: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00" w:lineRule="exact"/>
        <w:ind w:firstLine="840" w:firstLineChars="300"/>
        <w:rPr>
          <w:rFonts w:hint="eastAsia" w:ascii="方正小标宋_GBK" w:hAnsi="宋体" w:eastAsia="方正小标宋_GBK" w:cs="Times New Roman"/>
          <w:color w:val="auto"/>
          <w:sz w:val="28"/>
          <w:szCs w:val="28"/>
        </w:rPr>
      </w:pPr>
    </w:p>
    <w:p>
      <w:pPr>
        <w:spacing w:line="700" w:lineRule="exact"/>
        <w:ind w:firstLine="840" w:firstLineChars="300"/>
        <w:rPr>
          <w:rFonts w:ascii="方正小标宋_GBK" w:hAnsi="宋体" w:eastAsia="方正小标宋_GBK" w:cs="Times New Roman"/>
          <w:color w:val="auto"/>
          <w:sz w:val="28"/>
          <w:szCs w:val="28"/>
        </w:rPr>
      </w:pPr>
    </w:p>
    <w:p>
      <w:pPr>
        <w:spacing w:line="760" w:lineRule="exact"/>
        <w:ind w:firstLine="1440" w:firstLineChars="400"/>
        <w:rPr>
          <w:rFonts w:ascii="宋体" w:hAnsi="宋体" w:eastAsia="宋体" w:cs="宋体"/>
          <w:color w:val="auto"/>
          <w:sz w:val="40"/>
          <w:szCs w:val="40"/>
        </w:rPr>
      </w:pPr>
      <w:r>
        <w:rPr>
          <w:rFonts w:hint="eastAsia" w:ascii="方正小标宋_GBK" w:eastAsia="方正小标宋_GBK"/>
          <w:color w:val="auto"/>
          <w:sz w:val="36"/>
        </w:rPr>
        <w:t>采购人</w:t>
      </w:r>
      <w:r>
        <w:rPr>
          <w:rFonts w:hint="eastAsia" w:ascii="方正小标宋_GBK" w:hAnsi="宋体" w:eastAsia="方正小标宋_GBK" w:cs="Times New Roman"/>
          <w:color w:val="auto"/>
          <w:sz w:val="28"/>
          <w:szCs w:val="28"/>
        </w:rPr>
        <w:t>：</w:t>
      </w:r>
      <w:r>
        <w:rPr>
          <w:rFonts w:hint="eastAsia" w:ascii="宋体" w:hAnsi="宋体" w:eastAsia="宋体" w:cs="宋体"/>
          <w:color w:val="auto"/>
          <w:sz w:val="36"/>
          <w:szCs w:val="36"/>
        </w:rPr>
        <w:t>重庆医科大学附属永川医院</w:t>
      </w:r>
    </w:p>
    <w:p>
      <w:pPr>
        <w:spacing w:line="420" w:lineRule="exact"/>
        <w:jc w:val="center"/>
        <w:outlineLvl w:val="0"/>
        <w:rPr>
          <w:rFonts w:ascii="仿宋" w:hAnsi="仿宋" w:eastAsia="仿宋" w:cs="仿宋"/>
          <w:color w:val="auto"/>
          <w:sz w:val="30"/>
          <w:szCs w:val="30"/>
        </w:rPr>
      </w:pPr>
    </w:p>
    <w:p>
      <w:pPr>
        <w:spacing w:line="420" w:lineRule="exact"/>
        <w:jc w:val="center"/>
        <w:outlineLvl w:val="0"/>
        <w:rPr>
          <w:rFonts w:ascii="方正黑体_GBK" w:hAnsi="Times New Roman" w:eastAsia="方正黑体_GBK" w:cs="Times New Roman"/>
          <w:color w:val="auto"/>
          <w:sz w:val="44"/>
          <w:szCs w:val="28"/>
        </w:rPr>
      </w:pPr>
      <w:r>
        <w:rPr>
          <w:rFonts w:hint="eastAsia" w:ascii="方正小标宋_GBK" w:hAnsi="宋体" w:eastAsia="方正小标宋_GBK" w:cs="Times New Roman"/>
          <w:color w:val="auto"/>
          <w:sz w:val="28"/>
          <w:szCs w:val="28"/>
        </w:rPr>
        <w:t>二〇二</w:t>
      </w:r>
      <w:r>
        <w:rPr>
          <w:rFonts w:hint="eastAsia" w:ascii="方正小标宋_GBK" w:hAnsi="宋体" w:eastAsia="方正小标宋_GBK" w:cs="Times New Roman"/>
          <w:color w:val="auto"/>
          <w:sz w:val="28"/>
          <w:szCs w:val="28"/>
          <w:lang w:val="en-US" w:eastAsia="zh-CN"/>
        </w:rPr>
        <w:t>四</w:t>
      </w:r>
      <w:r>
        <w:rPr>
          <w:rFonts w:hint="eastAsia" w:ascii="方正小标宋_GBK" w:hAnsi="宋体" w:eastAsia="方正小标宋_GBK" w:cs="Times New Roman"/>
          <w:color w:val="auto"/>
          <w:sz w:val="28"/>
          <w:szCs w:val="28"/>
        </w:rPr>
        <w:t>年</w:t>
      </w:r>
      <w:r>
        <w:rPr>
          <w:rFonts w:hint="eastAsia" w:ascii="方正小标宋_GBK" w:hAnsi="宋体" w:eastAsia="方正小标宋_GBK" w:cs="Times New Roman"/>
          <w:color w:val="auto"/>
          <w:sz w:val="28"/>
          <w:szCs w:val="28"/>
          <w:lang w:eastAsia="zh-CN"/>
        </w:rPr>
        <w:t>四月</w:t>
      </w: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20" w:lineRule="exact"/>
        <w:jc w:val="center"/>
        <w:outlineLvl w:val="0"/>
        <w:rPr>
          <w:rFonts w:ascii="方正黑体_GBK" w:hAnsi="Times New Roman" w:eastAsia="方正黑体_GBK" w:cs="Times New Roman"/>
          <w:color w:val="auto"/>
          <w:sz w:val="44"/>
          <w:szCs w:val="28"/>
        </w:rPr>
      </w:pPr>
    </w:p>
    <w:p>
      <w:pPr>
        <w:spacing w:line="480" w:lineRule="exact"/>
        <w:jc w:val="center"/>
        <w:outlineLvl w:val="0"/>
        <w:rPr>
          <w:rFonts w:hint="eastAsia" w:ascii="方正小标宋_GBK" w:hAnsi="Times New Roman" w:eastAsia="方正小标宋_GBK" w:cs="Times New Roman"/>
          <w:color w:val="auto"/>
          <w:sz w:val="44"/>
          <w:szCs w:val="28"/>
        </w:rPr>
      </w:pPr>
    </w:p>
    <w:p>
      <w:pPr>
        <w:spacing w:line="480" w:lineRule="exact"/>
        <w:jc w:val="center"/>
        <w:outlineLvl w:val="0"/>
        <w:rPr>
          <w:rFonts w:ascii="方正小标宋_GBK" w:hAnsi="Times New Roman" w:eastAsia="方正小标宋_GBK" w:cs="Times New Roman"/>
          <w:color w:val="auto"/>
          <w:sz w:val="44"/>
          <w:szCs w:val="28"/>
        </w:rPr>
      </w:pPr>
      <w:r>
        <w:rPr>
          <w:rFonts w:hint="eastAsia" w:ascii="方正小标宋_GBK" w:hAnsi="Times New Roman" w:eastAsia="方正小标宋_GBK" w:cs="Times New Roman"/>
          <w:color w:val="auto"/>
          <w:sz w:val="44"/>
          <w:szCs w:val="28"/>
        </w:rPr>
        <w:t xml:space="preserve">  目   录</w:t>
      </w:r>
    </w:p>
    <w:p>
      <w:pPr>
        <w:pStyle w:val="37"/>
        <w:tabs>
          <w:tab w:val="right" w:leader="dot" w:pos="9412"/>
        </w:tabs>
        <w:rPr>
          <w:color w:val="auto"/>
        </w:rPr>
      </w:pP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TOC \o "1-3" \h \z </w:instrText>
      </w:r>
      <w:r>
        <w:rPr>
          <w:rFonts w:hint="eastAsia" w:ascii="方正小标宋_GBK" w:hAnsi="宋体" w:eastAsia="方正小标宋_GBK"/>
          <w:color w:val="auto"/>
          <w:szCs w:val="21"/>
        </w:rPr>
        <w:fldChar w:fldCharType="separate"/>
      </w:r>
      <w:r>
        <w:rPr>
          <w:rFonts w:hint="eastAsia" w:ascii="方正小标宋_GBK" w:hAnsi="宋体" w:eastAsia="方正小标宋_GBK"/>
          <w:color w:val="auto"/>
          <w:szCs w:val="21"/>
        </w:rPr>
        <w:fldChar w:fldCharType="begin"/>
      </w:r>
      <w:r>
        <w:rPr>
          <w:rFonts w:hint="eastAsia" w:ascii="方正小标宋_GBK" w:hAnsi="宋体" w:eastAsia="方正小标宋_GBK"/>
          <w:color w:val="auto"/>
          <w:szCs w:val="21"/>
        </w:rPr>
        <w:instrText xml:space="preserve"> HYPERLINK \l _Toc25875 </w:instrText>
      </w:r>
      <w:r>
        <w:rPr>
          <w:rFonts w:hint="eastAsia" w:ascii="方正小标宋_GBK" w:hAnsi="宋体" w:eastAsia="方正小标宋_GBK"/>
          <w:color w:val="auto"/>
          <w:szCs w:val="21"/>
        </w:rPr>
        <w:fldChar w:fldCharType="separate"/>
      </w:r>
      <w:r>
        <w:rPr>
          <w:rFonts w:hint="eastAsia" w:ascii="微软雅黑" w:hAnsi="微软雅黑" w:eastAsia="微软雅黑" w:cs="微软雅黑"/>
          <w:bCs/>
          <w:color w:val="auto"/>
          <w:szCs w:val="36"/>
        </w:rPr>
        <w:t>第一篇  比选邀请书</w:t>
      </w:r>
      <w:r>
        <w:rPr>
          <w:color w:val="auto"/>
        </w:rPr>
        <w:tab/>
      </w:r>
      <w:r>
        <w:rPr>
          <w:color w:val="auto"/>
        </w:rPr>
        <w:fldChar w:fldCharType="begin"/>
      </w:r>
      <w:r>
        <w:rPr>
          <w:color w:val="auto"/>
        </w:rPr>
        <w:instrText xml:space="preserve"> PAGEREF _Toc25875 \h </w:instrText>
      </w:r>
      <w:r>
        <w:rPr>
          <w:color w:val="auto"/>
        </w:rPr>
        <w:fldChar w:fldCharType="separate"/>
      </w:r>
      <w:r>
        <w:rPr>
          <w:color w:val="auto"/>
        </w:rPr>
        <w:t>3</w:t>
      </w:r>
      <w:r>
        <w:rPr>
          <w:color w:val="auto"/>
        </w:rPr>
        <w:fldChar w:fldCharType="end"/>
      </w:r>
      <w:r>
        <w:rPr>
          <w:rFonts w:hint="eastAsia" w:ascii="方正小标宋_GBK" w:hAnsi="宋体" w:eastAsia="方正小标宋_GBK"/>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_Toc28443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一、比选内容</w:t>
      </w:r>
      <w:r>
        <w:rPr>
          <w:color w:val="auto"/>
        </w:rPr>
        <w:tab/>
      </w:r>
      <w:r>
        <w:rPr>
          <w:color w:val="auto"/>
        </w:rPr>
        <w:fldChar w:fldCharType="begin"/>
      </w:r>
      <w:r>
        <w:rPr>
          <w:color w:val="auto"/>
        </w:rPr>
        <w:instrText xml:space="preserve"> PAGEREF _Toc28443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_Toc6609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val="en-US" w:eastAsia="zh-CN"/>
        </w:rPr>
        <w:t>二、资金来源</w:t>
      </w:r>
      <w:r>
        <w:rPr>
          <w:color w:val="auto"/>
        </w:rPr>
        <w:tab/>
      </w:r>
      <w:r>
        <w:rPr>
          <w:color w:val="auto"/>
        </w:rPr>
        <w:fldChar w:fldCharType="begin"/>
      </w:r>
      <w:r>
        <w:rPr>
          <w:color w:val="auto"/>
        </w:rPr>
        <w:instrText xml:space="preserve"> PAGEREF _Toc6609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_Toc23857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三、供应商资格要求</w:t>
      </w:r>
      <w:r>
        <w:rPr>
          <w:color w:val="auto"/>
        </w:rPr>
        <w:tab/>
      </w:r>
      <w:r>
        <w:rPr>
          <w:color w:val="auto"/>
        </w:rPr>
        <w:fldChar w:fldCharType="begin"/>
      </w:r>
      <w:r>
        <w:rPr>
          <w:color w:val="auto"/>
        </w:rPr>
        <w:instrText xml:space="preserve"> PAGEREF _Toc23857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_Toc11958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四、比选有关说明</w:t>
      </w:r>
      <w:r>
        <w:rPr>
          <w:color w:val="auto"/>
        </w:rPr>
        <w:tab/>
      </w:r>
      <w:r>
        <w:rPr>
          <w:color w:val="auto"/>
        </w:rPr>
        <w:fldChar w:fldCharType="begin"/>
      </w:r>
      <w:r>
        <w:rPr>
          <w:color w:val="auto"/>
        </w:rPr>
        <w:instrText xml:space="preserve"> PAGEREF _Toc11958 \h </w:instrText>
      </w:r>
      <w:r>
        <w:rPr>
          <w:color w:val="auto"/>
        </w:rPr>
        <w:fldChar w:fldCharType="separate"/>
      </w:r>
      <w:r>
        <w:rPr>
          <w:color w:val="auto"/>
        </w:rPr>
        <w:t>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_Toc29866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五、本项目无需购买比选文件</w:t>
      </w:r>
      <w:r>
        <w:rPr>
          <w:color w:val="auto"/>
        </w:rPr>
        <w:tab/>
      </w:r>
      <w:r>
        <w:rPr>
          <w:color w:val="auto"/>
        </w:rPr>
        <w:fldChar w:fldCharType="begin"/>
      </w:r>
      <w:r>
        <w:rPr>
          <w:color w:val="auto"/>
        </w:rPr>
        <w:instrText xml:space="preserve"> PAGEREF _Toc29866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_Toc2806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六、其它有关规定</w:t>
      </w:r>
      <w:r>
        <w:rPr>
          <w:color w:val="auto"/>
        </w:rPr>
        <w:tab/>
      </w:r>
      <w:r>
        <w:rPr>
          <w:color w:val="auto"/>
        </w:rPr>
        <w:fldChar w:fldCharType="begin"/>
      </w:r>
      <w:r>
        <w:rPr>
          <w:color w:val="auto"/>
        </w:rPr>
        <w:instrText xml:space="preserve"> PAGEREF _Toc2806 \h </w:instrText>
      </w:r>
      <w:r>
        <w:rPr>
          <w:color w:val="auto"/>
        </w:rPr>
        <w:fldChar w:fldCharType="separate"/>
      </w:r>
      <w:r>
        <w:rPr>
          <w:color w:val="auto"/>
        </w:rPr>
        <w:t>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_Toc2183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七、防疫要求</w:t>
      </w:r>
      <w:r>
        <w:rPr>
          <w:color w:val="auto"/>
        </w:rPr>
        <w:tab/>
      </w:r>
      <w:r>
        <w:rPr>
          <w:color w:val="auto"/>
        </w:rPr>
        <w:fldChar w:fldCharType="begin"/>
      </w:r>
      <w:r>
        <w:rPr>
          <w:color w:val="auto"/>
        </w:rPr>
        <w:instrText xml:space="preserve"> PAGEREF _Toc2183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_Toc9130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八、联系方式</w:t>
      </w:r>
      <w:r>
        <w:rPr>
          <w:color w:val="auto"/>
        </w:rPr>
        <w:tab/>
      </w:r>
      <w:r>
        <w:rPr>
          <w:color w:val="auto"/>
        </w:rPr>
        <w:fldChar w:fldCharType="begin"/>
      </w:r>
      <w:r>
        <w:rPr>
          <w:color w:val="auto"/>
        </w:rPr>
        <w:instrText xml:space="preserve"> PAGEREF _Toc9130 \h </w:instrText>
      </w:r>
      <w:r>
        <w:rPr>
          <w:color w:val="auto"/>
        </w:rPr>
        <w:fldChar w:fldCharType="separate"/>
      </w:r>
      <w:r>
        <w:rPr>
          <w:color w:val="auto"/>
        </w:rPr>
        <w:t>5</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_Toc22321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bCs/>
          <w:color w:val="auto"/>
          <w:szCs w:val="36"/>
        </w:rPr>
        <w:t>第二篇 供应商须知</w:t>
      </w:r>
      <w:r>
        <w:rPr>
          <w:color w:val="auto"/>
        </w:rPr>
        <w:tab/>
      </w:r>
      <w:r>
        <w:rPr>
          <w:color w:val="auto"/>
        </w:rPr>
        <w:fldChar w:fldCharType="begin"/>
      </w:r>
      <w:r>
        <w:rPr>
          <w:color w:val="auto"/>
        </w:rPr>
        <w:instrText xml:space="preserve"> PAGEREF _Toc22321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_Toc11386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一、比选费用</w:t>
      </w:r>
      <w:r>
        <w:rPr>
          <w:color w:val="auto"/>
        </w:rPr>
        <w:tab/>
      </w:r>
      <w:r>
        <w:rPr>
          <w:color w:val="auto"/>
        </w:rPr>
        <w:fldChar w:fldCharType="begin"/>
      </w:r>
      <w:r>
        <w:rPr>
          <w:color w:val="auto"/>
        </w:rPr>
        <w:instrText xml:space="preserve"> PAGEREF _Toc11386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_Toc8430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二、比选文件</w:t>
      </w:r>
      <w:r>
        <w:rPr>
          <w:color w:val="auto"/>
        </w:rPr>
        <w:tab/>
      </w:r>
      <w:r>
        <w:rPr>
          <w:color w:val="auto"/>
        </w:rPr>
        <w:fldChar w:fldCharType="begin"/>
      </w:r>
      <w:r>
        <w:rPr>
          <w:color w:val="auto"/>
        </w:rPr>
        <w:instrText xml:space="preserve"> PAGEREF _Toc8430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_Toc23254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三、比选要求</w:t>
      </w:r>
      <w:r>
        <w:rPr>
          <w:color w:val="auto"/>
        </w:rPr>
        <w:tab/>
      </w:r>
      <w:r>
        <w:rPr>
          <w:color w:val="auto"/>
        </w:rPr>
        <w:fldChar w:fldCharType="begin"/>
      </w:r>
      <w:r>
        <w:rPr>
          <w:color w:val="auto"/>
        </w:rPr>
        <w:instrText xml:space="preserve"> PAGEREF _Toc23254 \h </w:instrText>
      </w:r>
      <w:r>
        <w:rPr>
          <w:color w:val="auto"/>
        </w:rPr>
        <w:fldChar w:fldCharType="separate"/>
      </w:r>
      <w:r>
        <w:rPr>
          <w:color w:val="auto"/>
        </w:rPr>
        <w:t>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_Toc19143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四、比选程序</w:t>
      </w:r>
      <w:r>
        <w:rPr>
          <w:color w:val="auto"/>
        </w:rPr>
        <w:tab/>
      </w:r>
      <w:r>
        <w:rPr>
          <w:color w:val="auto"/>
        </w:rPr>
        <w:fldChar w:fldCharType="begin"/>
      </w:r>
      <w:r>
        <w:rPr>
          <w:color w:val="auto"/>
        </w:rPr>
        <w:instrText xml:space="preserve"> PAGEREF _Toc19143 \h </w:instrText>
      </w:r>
      <w:r>
        <w:rPr>
          <w:color w:val="auto"/>
        </w:rPr>
        <w:fldChar w:fldCharType="separate"/>
      </w:r>
      <w:r>
        <w:rPr>
          <w:color w:val="auto"/>
        </w:rPr>
        <w:t>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_Toc14247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五、评审依据</w:t>
      </w:r>
      <w:r>
        <w:rPr>
          <w:color w:val="auto"/>
        </w:rPr>
        <w:tab/>
      </w:r>
      <w:r>
        <w:rPr>
          <w:color w:val="auto"/>
        </w:rPr>
        <w:fldChar w:fldCharType="begin"/>
      </w:r>
      <w:r>
        <w:rPr>
          <w:color w:val="auto"/>
        </w:rPr>
        <w:instrText xml:space="preserve"> PAGEREF _Toc14247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_Toc14816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六、成交原则</w:t>
      </w:r>
      <w:r>
        <w:rPr>
          <w:color w:val="auto"/>
        </w:rPr>
        <w:tab/>
      </w:r>
      <w:r>
        <w:rPr>
          <w:color w:val="auto"/>
        </w:rPr>
        <w:fldChar w:fldCharType="begin"/>
      </w:r>
      <w:r>
        <w:rPr>
          <w:color w:val="auto"/>
        </w:rPr>
        <w:instrText xml:space="preserve"> PAGEREF _Toc14816 \h </w:instrText>
      </w:r>
      <w:r>
        <w:rPr>
          <w:color w:val="auto"/>
        </w:rPr>
        <w:fldChar w:fldCharType="separate"/>
      </w:r>
      <w:r>
        <w:rPr>
          <w:color w:val="auto"/>
        </w:rPr>
        <w:t>10</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_Toc7135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七、成交通知</w:t>
      </w:r>
      <w:r>
        <w:rPr>
          <w:color w:val="auto"/>
        </w:rPr>
        <w:tab/>
      </w:r>
      <w:r>
        <w:rPr>
          <w:color w:val="auto"/>
        </w:rPr>
        <w:fldChar w:fldCharType="begin"/>
      </w:r>
      <w:r>
        <w:rPr>
          <w:color w:val="auto"/>
        </w:rPr>
        <w:instrText xml:space="preserve"> PAGEREF _Toc7135 \h </w:instrText>
      </w:r>
      <w:r>
        <w:rPr>
          <w:color w:val="auto"/>
        </w:rPr>
        <w:fldChar w:fldCharType="separate"/>
      </w:r>
      <w:r>
        <w:rPr>
          <w:color w:val="auto"/>
        </w:rPr>
        <w:t>11</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_Toc12880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八、关于质疑和投诉</w:t>
      </w:r>
      <w:r>
        <w:rPr>
          <w:color w:val="auto"/>
        </w:rPr>
        <w:tab/>
      </w:r>
      <w:r>
        <w:rPr>
          <w:color w:val="auto"/>
        </w:rPr>
        <w:fldChar w:fldCharType="begin"/>
      </w:r>
      <w:r>
        <w:rPr>
          <w:color w:val="auto"/>
        </w:rPr>
        <w:instrText xml:space="preserve"> PAGEREF _Toc12880 \h </w:instrText>
      </w:r>
      <w:r>
        <w:rPr>
          <w:color w:val="auto"/>
        </w:rPr>
        <w:fldChar w:fldCharType="separate"/>
      </w:r>
      <w:r>
        <w:rPr>
          <w:color w:val="auto"/>
        </w:rPr>
        <w:t>12</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_Toc5728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九、签订合同</w:t>
      </w:r>
      <w:r>
        <w:rPr>
          <w:color w:val="auto"/>
        </w:rPr>
        <w:tab/>
      </w:r>
      <w:r>
        <w:rPr>
          <w:color w:val="auto"/>
        </w:rPr>
        <w:fldChar w:fldCharType="begin"/>
      </w:r>
      <w:r>
        <w:rPr>
          <w:color w:val="auto"/>
        </w:rPr>
        <w:instrText xml:space="preserve"> PAGEREF _Toc5728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_Toc7675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十、其他</w:t>
      </w:r>
      <w:r>
        <w:rPr>
          <w:color w:val="auto"/>
        </w:rPr>
        <w:tab/>
      </w:r>
      <w:r>
        <w:rPr>
          <w:color w:val="auto"/>
        </w:rPr>
        <w:fldChar w:fldCharType="begin"/>
      </w:r>
      <w:r>
        <w:rPr>
          <w:color w:val="auto"/>
        </w:rPr>
        <w:instrText xml:space="preserve"> PAGEREF _Toc7675 \h </w:instrText>
      </w:r>
      <w:r>
        <w:rPr>
          <w:color w:val="auto"/>
        </w:rPr>
        <w:fldChar w:fldCharType="separate"/>
      </w:r>
      <w:r>
        <w:rPr>
          <w:color w:val="auto"/>
        </w:rPr>
        <w:t>13</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_Toc11770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第三篇  项目服务需求</w:t>
      </w:r>
      <w:r>
        <w:rPr>
          <w:color w:val="auto"/>
        </w:rPr>
        <w:tab/>
      </w:r>
      <w:r>
        <w:rPr>
          <w:color w:val="auto"/>
        </w:rPr>
        <w:fldChar w:fldCharType="begin"/>
      </w:r>
      <w:r>
        <w:rPr>
          <w:color w:val="auto"/>
        </w:rPr>
        <w:instrText xml:space="preserve"> PAGEREF _Toc11770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_Toc766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项目概况</w:t>
      </w:r>
      <w:r>
        <w:rPr>
          <w:color w:val="auto"/>
        </w:rPr>
        <w:tab/>
      </w:r>
      <w:r>
        <w:rPr>
          <w:color w:val="auto"/>
        </w:rPr>
        <w:fldChar w:fldCharType="begin"/>
      </w:r>
      <w:r>
        <w:rPr>
          <w:color w:val="auto"/>
        </w:rPr>
        <w:instrText xml:space="preserve"> PAGEREF _Toc766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_Toc18590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w:t>
      </w:r>
      <w:r>
        <w:rPr>
          <w:rFonts w:hint="eastAsia" w:ascii="微软雅黑" w:hAnsi="微软雅黑" w:eastAsia="微软雅黑" w:cs="微软雅黑"/>
          <w:color w:val="auto"/>
          <w:szCs w:val="24"/>
          <w:lang w:eastAsia="zh-CN"/>
        </w:rPr>
        <w:t>需</w:t>
      </w:r>
      <w:r>
        <w:rPr>
          <w:rFonts w:hint="eastAsia" w:ascii="微软雅黑" w:hAnsi="微软雅黑" w:eastAsia="微软雅黑" w:cs="微软雅黑"/>
          <w:color w:val="auto"/>
          <w:szCs w:val="24"/>
        </w:rPr>
        <w:t>求</w:t>
      </w:r>
      <w:r>
        <w:rPr>
          <w:color w:val="auto"/>
        </w:rPr>
        <w:tab/>
      </w:r>
      <w:r>
        <w:rPr>
          <w:color w:val="auto"/>
        </w:rPr>
        <w:fldChar w:fldCharType="begin"/>
      </w:r>
      <w:r>
        <w:rPr>
          <w:color w:val="auto"/>
        </w:rPr>
        <w:instrText xml:space="preserve"> PAGEREF _Toc18590 \h </w:instrText>
      </w:r>
      <w:r>
        <w:rPr>
          <w:color w:val="auto"/>
        </w:rPr>
        <w:fldChar w:fldCharType="separate"/>
      </w:r>
      <w:r>
        <w:rPr>
          <w:color w:val="auto"/>
        </w:rPr>
        <w:t>14</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_Toc28327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第四篇  项目商务需求</w:t>
      </w:r>
      <w:r>
        <w:rPr>
          <w:color w:val="auto"/>
        </w:rPr>
        <w:tab/>
      </w:r>
      <w:r>
        <w:rPr>
          <w:color w:val="auto"/>
        </w:rPr>
        <w:fldChar w:fldCharType="begin"/>
      </w:r>
      <w:r>
        <w:rPr>
          <w:color w:val="auto"/>
        </w:rPr>
        <w:instrText xml:space="preserve"> PAGEREF _Toc28327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_Toc2302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w:t>
      </w:r>
      <w:r>
        <w:rPr>
          <w:rFonts w:hint="eastAsia" w:ascii="微软雅黑" w:hAnsi="微软雅黑" w:eastAsia="微软雅黑" w:cs="微软雅黑"/>
          <w:color w:val="auto"/>
          <w:szCs w:val="24"/>
          <w:lang w:eastAsia="zh-CN"/>
        </w:rPr>
        <w:t>商务需求</w:t>
      </w:r>
      <w:r>
        <w:rPr>
          <w:color w:val="auto"/>
        </w:rPr>
        <w:tab/>
      </w:r>
      <w:r>
        <w:rPr>
          <w:color w:val="auto"/>
        </w:rPr>
        <w:fldChar w:fldCharType="begin"/>
      </w:r>
      <w:r>
        <w:rPr>
          <w:color w:val="auto"/>
        </w:rPr>
        <w:instrText xml:space="preserve"> PAGEREF _Toc2302 \h </w:instrText>
      </w:r>
      <w:r>
        <w:rPr>
          <w:color w:val="auto"/>
        </w:rPr>
        <w:fldChar w:fldCharType="separate"/>
      </w:r>
      <w:r>
        <w:rPr>
          <w:color w:val="auto"/>
        </w:rPr>
        <w:t>15</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_Toc26361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二</w:t>
      </w:r>
      <w:r>
        <w:rPr>
          <w:rFonts w:hint="eastAsia" w:ascii="微软雅黑" w:hAnsi="微软雅黑" w:eastAsia="微软雅黑" w:cs="微软雅黑"/>
          <w:color w:val="auto"/>
          <w:szCs w:val="24"/>
        </w:rPr>
        <w:t>、</w:t>
      </w:r>
      <w:r>
        <w:rPr>
          <w:rFonts w:hint="eastAsia" w:ascii="微软雅黑" w:hAnsi="微软雅黑" w:eastAsia="微软雅黑" w:cs="微软雅黑"/>
          <w:color w:val="auto"/>
          <w:szCs w:val="24"/>
          <w:lang w:eastAsia="zh-CN"/>
        </w:rPr>
        <w:t>知识产权</w:t>
      </w:r>
      <w:r>
        <w:rPr>
          <w:color w:val="auto"/>
        </w:rPr>
        <w:tab/>
      </w:r>
      <w:r>
        <w:rPr>
          <w:color w:val="auto"/>
        </w:rPr>
        <w:fldChar w:fldCharType="begin"/>
      </w:r>
      <w:r>
        <w:rPr>
          <w:color w:val="auto"/>
        </w:rPr>
        <w:instrText xml:space="preserve"> PAGEREF _Toc26361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_Toc7358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三</w:t>
      </w:r>
      <w:r>
        <w:rPr>
          <w:rFonts w:hint="eastAsia" w:ascii="微软雅黑" w:hAnsi="微软雅黑" w:eastAsia="微软雅黑" w:cs="微软雅黑"/>
          <w:color w:val="auto"/>
          <w:szCs w:val="24"/>
        </w:rPr>
        <w:t>、其他</w:t>
      </w:r>
      <w:r>
        <w:rPr>
          <w:color w:val="auto"/>
        </w:rPr>
        <w:tab/>
      </w:r>
      <w:r>
        <w:rPr>
          <w:color w:val="auto"/>
        </w:rPr>
        <w:fldChar w:fldCharType="begin"/>
      </w:r>
      <w:r>
        <w:rPr>
          <w:color w:val="auto"/>
        </w:rPr>
        <w:instrText xml:space="preserve"> PAGEREF _Toc7358 \h </w:instrText>
      </w:r>
      <w:r>
        <w:rPr>
          <w:color w:val="auto"/>
        </w:rPr>
        <w:fldChar w:fldCharType="separate"/>
      </w:r>
      <w:r>
        <w:rPr>
          <w:color w:val="auto"/>
        </w:rPr>
        <w:t>16</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_Toc14840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第五篇  合同草案条款</w:t>
      </w:r>
      <w:r>
        <w:rPr>
          <w:color w:val="auto"/>
        </w:rPr>
        <w:tab/>
      </w:r>
      <w:r>
        <w:rPr>
          <w:color w:val="auto"/>
        </w:rPr>
        <w:fldChar w:fldCharType="begin"/>
      </w:r>
      <w:r>
        <w:rPr>
          <w:color w:val="auto"/>
        </w:rPr>
        <w:instrText xml:space="preserve"> PAGEREF _Toc14840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_Toc30815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一、定义</w:t>
      </w:r>
      <w:r>
        <w:rPr>
          <w:color w:val="auto"/>
        </w:rPr>
        <w:tab/>
      </w:r>
      <w:r>
        <w:rPr>
          <w:color w:val="auto"/>
        </w:rPr>
        <w:fldChar w:fldCharType="begin"/>
      </w:r>
      <w:r>
        <w:rPr>
          <w:color w:val="auto"/>
        </w:rPr>
        <w:instrText xml:space="preserve"> PAGEREF _Toc30815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_Toc17879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w:t>
      </w:r>
      <w:r>
        <w:rPr>
          <w:rFonts w:hint="eastAsia" w:ascii="微软雅黑" w:hAnsi="微软雅黑" w:eastAsia="微软雅黑" w:cs="微软雅黑"/>
          <w:color w:val="auto"/>
          <w:szCs w:val="24"/>
          <w:lang w:eastAsia="zh-CN"/>
        </w:rPr>
        <w:t>服务</w:t>
      </w:r>
      <w:r>
        <w:rPr>
          <w:rFonts w:hint="eastAsia" w:ascii="微软雅黑" w:hAnsi="微软雅黑" w:eastAsia="微软雅黑" w:cs="微软雅黑"/>
          <w:color w:val="auto"/>
          <w:szCs w:val="24"/>
        </w:rPr>
        <w:t>内容</w:t>
      </w:r>
      <w:r>
        <w:rPr>
          <w:color w:val="auto"/>
        </w:rPr>
        <w:tab/>
      </w:r>
      <w:r>
        <w:rPr>
          <w:color w:val="auto"/>
        </w:rPr>
        <w:fldChar w:fldCharType="begin"/>
      </w:r>
      <w:r>
        <w:rPr>
          <w:color w:val="auto"/>
        </w:rPr>
        <w:instrText xml:space="preserve"> PAGEREF _Toc17879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_Toc8853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三、合同价格</w:t>
      </w:r>
      <w:r>
        <w:rPr>
          <w:color w:val="auto"/>
        </w:rPr>
        <w:tab/>
      </w:r>
      <w:r>
        <w:rPr>
          <w:color w:val="auto"/>
        </w:rPr>
        <w:fldChar w:fldCharType="begin"/>
      </w:r>
      <w:r>
        <w:rPr>
          <w:color w:val="auto"/>
        </w:rPr>
        <w:instrText xml:space="preserve"> PAGEREF _Toc8853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_Toc24410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四、转包或分包</w:t>
      </w:r>
      <w:r>
        <w:rPr>
          <w:color w:val="auto"/>
        </w:rPr>
        <w:tab/>
      </w:r>
      <w:r>
        <w:rPr>
          <w:color w:val="auto"/>
        </w:rPr>
        <w:fldChar w:fldCharType="begin"/>
      </w:r>
      <w:r>
        <w:rPr>
          <w:color w:val="auto"/>
        </w:rPr>
        <w:instrText xml:space="preserve"> PAGEREF _Toc24410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_Toc2241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五、质量保证及售后服务</w:t>
      </w:r>
      <w:r>
        <w:rPr>
          <w:color w:val="auto"/>
        </w:rPr>
        <w:tab/>
      </w:r>
      <w:r>
        <w:rPr>
          <w:color w:val="auto"/>
        </w:rPr>
        <w:fldChar w:fldCharType="begin"/>
      </w:r>
      <w:r>
        <w:rPr>
          <w:color w:val="auto"/>
        </w:rPr>
        <w:instrText xml:space="preserve"> PAGEREF _Toc2241 \h </w:instrText>
      </w:r>
      <w:r>
        <w:rPr>
          <w:color w:val="auto"/>
        </w:rPr>
        <w:fldChar w:fldCharType="separate"/>
      </w:r>
      <w:r>
        <w:rPr>
          <w:color w:val="auto"/>
        </w:rPr>
        <w:t>17</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_Toc9053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六、付款</w:t>
      </w:r>
      <w:r>
        <w:rPr>
          <w:color w:val="auto"/>
        </w:rPr>
        <w:tab/>
      </w:r>
      <w:r>
        <w:rPr>
          <w:color w:val="auto"/>
        </w:rPr>
        <w:fldChar w:fldCharType="begin"/>
      </w:r>
      <w:r>
        <w:rPr>
          <w:color w:val="auto"/>
        </w:rPr>
        <w:instrText xml:space="preserve"> PAGEREF _Toc9053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_Toc11586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七</w:t>
      </w:r>
      <w:r>
        <w:rPr>
          <w:rFonts w:hint="eastAsia" w:ascii="微软雅黑" w:hAnsi="微软雅黑" w:eastAsia="微软雅黑" w:cs="微软雅黑"/>
          <w:color w:val="auto"/>
          <w:szCs w:val="24"/>
        </w:rPr>
        <w:t>、合同争议的解决</w:t>
      </w:r>
      <w:r>
        <w:rPr>
          <w:color w:val="auto"/>
        </w:rPr>
        <w:tab/>
      </w:r>
      <w:r>
        <w:rPr>
          <w:color w:val="auto"/>
        </w:rPr>
        <w:fldChar w:fldCharType="begin"/>
      </w:r>
      <w:r>
        <w:rPr>
          <w:color w:val="auto"/>
        </w:rPr>
        <w:instrText xml:space="preserve"> PAGEREF _Toc11586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_Toc26580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八</w:t>
      </w:r>
      <w:r>
        <w:rPr>
          <w:rFonts w:hint="eastAsia" w:ascii="微软雅黑" w:hAnsi="微软雅黑" w:eastAsia="微软雅黑" w:cs="微软雅黑"/>
          <w:color w:val="auto"/>
          <w:szCs w:val="24"/>
        </w:rPr>
        <w:t>、违约责任</w:t>
      </w:r>
      <w:r>
        <w:rPr>
          <w:color w:val="auto"/>
        </w:rPr>
        <w:tab/>
      </w:r>
      <w:r>
        <w:rPr>
          <w:color w:val="auto"/>
        </w:rPr>
        <w:fldChar w:fldCharType="begin"/>
      </w:r>
      <w:r>
        <w:rPr>
          <w:color w:val="auto"/>
        </w:rPr>
        <w:instrText xml:space="preserve"> PAGEREF _Toc26580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_Toc16142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lang w:eastAsia="zh-CN"/>
        </w:rPr>
        <w:t>九</w:t>
      </w:r>
      <w:r>
        <w:rPr>
          <w:rFonts w:hint="eastAsia" w:ascii="微软雅黑" w:hAnsi="微软雅黑" w:eastAsia="微软雅黑" w:cs="微软雅黑"/>
          <w:color w:val="auto"/>
          <w:szCs w:val="24"/>
        </w:rPr>
        <w:t>、合同生效及其它</w:t>
      </w:r>
      <w:r>
        <w:rPr>
          <w:color w:val="auto"/>
        </w:rPr>
        <w:tab/>
      </w:r>
      <w:r>
        <w:rPr>
          <w:color w:val="auto"/>
        </w:rPr>
        <w:fldChar w:fldCharType="begin"/>
      </w:r>
      <w:r>
        <w:rPr>
          <w:color w:val="auto"/>
        </w:rPr>
        <w:instrText xml:space="preserve"> PAGEREF _Toc16142 \h </w:instrText>
      </w:r>
      <w:r>
        <w:rPr>
          <w:color w:val="auto"/>
        </w:rPr>
        <w:fldChar w:fldCharType="separate"/>
      </w:r>
      <w:r>
        <w:rPr>
          <w:color w:val="auto"/>
        </w:rPr>
        <w:t>18</w:t>
      </w:r>
      <w:r>
        <w:rPr>
          <w:color w:val="auto"/>
        </w:rPr>
        <w:fldChar w:fldCharType="end"/>
      </w:r>
      <w:r>
        <w:rPr>
          <w:rFonts w:hint="eastAsia" w:ascii="方正小标宋_GBK" w:hAnsi="宋体" w:eastAsia="方正小标宋_GBK" w:cs="Times New Roman"/>
          <w:color w:val="auto"/>
          <w:szCs w:val="21"/>
        </w:rPr>
        <w:fldChar w:fldCharType="end"/>
      </w:r>
    </w:p>
    <w:p>
      <w:pPr>
        <w:pStyle w:val="37"/>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_Toc13696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36"/>
        </w:rPr>
        <w:t>第六篇  响应文件格式要求</w:t>
      </w:r>
      <w:r>
        <w:rPr>
          <w:color w:val="auto"/>
        </w:rPr>
        <w:tab/>
      </w:r>
      <w:r>
        <w:rPr>
          <w:color w:val="auto"/>
        </w:rPr>
        <w:fldChar w:fldCharType="begin"/>
      </w:r>
      <w:r>
        <w:rPr>
          <w:color w:val="auto"/>
        </w:rPr>
        <w:instrText xml:space="preserve"> PAGEREF _Toc13696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_Toc27382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一、经济部分</w:t>
      </w:r>
      <w:r>
        <w:rPr>
          <w:color w:val="auto"/>
        </w:rPr>
        <w:tab/>
      </w:r>
      <w:r>
        <w:rPr>
          <w:color w:val="auto"/>
        </w:rPr>
        <w:fldChar w:fldCharType="begin"/>
      </w:r>
      <w:r>
        <w:rPr>
          <w:color w:val="auto"/>
        </w:rPr>
        <w:instrText xml:space="preserve"> PAGEREF _Toc27382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_Toc6305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二、服务部分</w:t>
      </w:r>
      <w:r>
        <w:rPr>
          <w:color w:val="auto"/>
        </w:rPr>
        <w:tab/>
      </w:r>
      <w:r>
        <w:rPr>
          <w:color w:val="auto"/>
        </w:rPr>
        <w:fldChar w:fldCharType="begin"/>
      </w:r>
      <w:r>
        <w:rPr>
          <w:color w:val="auto"/>
        </w:rPr>
        <w:instrText xml:space="preserve"> PAGEREF _Toc6305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_Toc7207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三、商务部分</w:t>
      </w:r>
      <w:r>
        <w:rPr>
          <w:color w:val="auto"/>
        </w:rPr>
        <w:tab/>
      </w:r>
      <w:r>
        <w:rPr>
          <w:color w:val="auto"/>
        </w:rPr>
        <w:fldChar w:fldCharType="begin"/>
      </w:r>
      <w:r>
        <w:rPr>
          <w:color w:val="auto"/>
        </w:rPr>
        <w:instrText xml:space="preserve"> PAGEREF _Toc7207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_Toc18417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四、资格条件及其他</w:t>
      </w:r>
      <w:r>
        <w:rPr>
          <w:color w:val="auto"/>
        </w:rPr>
        <w:tab/>
      </w:r>
      <w:r>
        <w:rPr>
          <w:color w:val="auto"/>
        </w:rPr>
        <w:fldChar w:fldCharType="begin"/>
      </w:r>
      <w:r>
        <w:rPr>
          <w:color w:val="auto"/>
        </w:rPr>
        <w:instrText xml:space="preserve"> PAGEREF _Toc18417 \h </w:instrText>
      </w:r>
      <w:r>
        <w:rPr>
          <w:color w:val="auto"/>
        </w:rPr>
        <w:fldChar w:fldCharType="separate"/>
      </w:r>
      <w:r>
        <w:rPr>
          <w:color w:val="auto"/>
        </w:rPr>
        <w:t>19</w:t>
      </w:r>
      <w:r>
        <w:rPr>
          <w:color w:val="auto"/>
        </w:rPr>
        <w:fldChar w:fldCharType="end"/>
      </w:r>
      <w:r>
        <w:rPr>
          <w:rFonts w:hint="eastAsia" w:ascii="方正小标宋_GBK" w:hAnsi="宋体" w:eastAsia="方正小标宋_GBK" w:cs="Times New Roman"/>
          <w:color w:val="auto"/>
          <w:szCs w:val="21"/>
        </w:rPr>
        <w:fldChar w:fldCharType="end"/>
      </w:r>
    </w:p>
    <w:p>
      <w:pPr>
        <w:pStyle w:val="45"/>
        <w:tabs>
          <w:tab w:val="right" w:leader="dot" w:pos="9412"/>
        </w:tabs>
        <w:rPr>
          <w:color w:val="auto"/>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_Toc19884 </w:instrText>
      </w:r>
      <w:r>
        <w:rPr>
          <w:rFonts w:hint="eastAsia" w:ascii="方正小标宋_GBK" w:hAnsi="宋体" w:eastAsia="方正小标宋_GBK" w:cs="Times New Roman"/>
          <w:color w:val="auto"/>
          <w:szCs w:val="21"/>
        </w:rPr>
        <w:fldChar w:fldCharType="separate"/>
      </w:r>
      <w:r>
        <w:rPr>
          <w:rFonts w:hint="eastAsia" w:ascii="微软雅黑" w:hAnsi="微软雅黑" w:eastAsia="微软雅黑" w:cs="微软雅黑"/>
          <w:color w:val="auto"/>
          <w:szCs w:val="24"/>
        </w:rPr>
        <w:t>五、其他应提供的资料</w:t>
      </w:r>
      <w:r>
        <w:rPr>
          <w:color w:val="auto"/>
        </w:rPr>
        <w:tab/>
      </w:r>
      <w:r>
        <w:rPr>
          <w:color w:val="auto"/>
        </w:rPr>
        <w:fldChar w:fldCharType="begin"/>
      </w:r>
      <w:r>
        <w:rPr>
          <w:color w:val="auto"/>
        </w:rPr>
        <w:instrText xml:space="preserve"> PAGEREF _Toc19884 \h </w:instrText>
      </w:r>
      <w:r>
        <w:rPr>
          <w:color w:val="auto"/>
        </w:rPr>
        <w:fldChar w:fldCharType="separate"/>
      </w:r>
      <w:r>
        <w:rPr>
          <w:color w:val="auto"/>
        </w:rPr>
        <w:t>20</w:t>
      </w:r>
      <w:r>
        <w:rPr>
          <w:color w:val="auto"/>
        </w:rPr>
        <w:fldChar w:fldCharType="end"/>
      </w:r>
      <w:r>
        <w:rPr>
          <w:rFonts w:hint="eastAsia" w:ascii="方正小标宋_GBK" w:hAnsi="宋体" w:eastAsia="方正小标宋_GBK" w:cs="Times New Roman"/>
          <w:color w:val="auto"/>
          <w:szCs w:val="21"/>
        </w:rPr>
        <w:fldChar w:fldCharType="end"/>
      </w:r>
    </w:p>
    <w:p>
      <w:pPr>
        <w:jc w:val="both"/>
        <w:rPr>
          <w:rFonts w:hint="eastAsia" w:ascii="方正仿宋_GBK" w:hAnsi="宋体" w:eastAsia="方正仿宋_GBK"/>
          <w:color w:val="auto"/>
          <w:sz w:val="32"/>
          <w:szCs w:val="32"/>
        </w:rPr>
      </w:pPr>
      <w:r>
        <w:rPr>
          <w:rFonts w:hint="eastAsia" w:ascii="方正小标宋_GBK" w:hAnsi="宋体" w:eastAsia="方正小标宋_GBK" w:cs="Times New Roman"/>
          <w:color w:val="auto"/>
          <w:szCs w:val="21"/>
        </w:rPr>
        <w:fldChar w:fldCharType="begin"/>
      </w:r>
      <w:r>
        <w:rPr>
          <w:rFonts w:hint="eastAsia" w:ascii="方正小标宋_GBK" w:hAnsi="宋体" w:eastAsia="方正小标宋_GBK" w:cs="Times New Roman"/>
          <w:color w:val="auto"/>
          <w:szCs w:val="21"/>
        </w:rPr>
        <w:instrText xml:space="preserve"> HYPERLINK \l _Toc23716 </w:instrText>
      </w:r>
      <w:r>
        <w:rPr>
          <w:rFonts w:hint="eastAsia" w:ascii="方正小标宋_GBK" w:hAnsi="宋体" w:eastAsia="方正小标宋_GBK" w:cs="Times New Roman"/>
          <w:color w:val="auto"/>
          <w:szCs w:val="21"/>
        </w:rPr>
        <w:fldChar w:fldCharType="separate"/>
      </w:r>
      <w:r>
        <w:rPr>
          <w:rFonts w:hint="eastAsia" w:ascii="方正仿宋_GBK" w:hAnsi="宋体" w:eastAsia="方正仿宋_GBK"/>
          <w:color w:val="auto"/>
          <w:sz w:val="32"/>
          <w:szCs w:val="32"/>
        </w:rPr>
        <w:t>中小微企业声明函</w:t>
      </w:r>
    </w:p>
    <w:p>
      <w:pPr>
        <w:pStyle w:val="37"/>
        <w:tabs>
          <w:tab w:val="right" w:leader="dot" w:pos="9412"/>
        </w:tabs>
        <w:rPr>
          <w:color w:val="auto"/>
        </w:rPr>
      </w:pP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39</w:t>
      </w:r>
      <w:r>
        <w:rPr>
          <w:color w:val="auto"/>
        </w:rPr>
        <w:fldChar w:fldCharType="end"/>
      </w:r>
      <w:r>
        <w:rPr>
          <w:rFonts w:hint="eastAsia" w:ascii="方正小标宋_GBK" w:hAnsi="宋体" w:eastAsia="方正小标宋_GBK" w:cs="Times New Roman"/>
          <w:color w:val="auto"/>
          <w:szCs w:val="21"/>
        </w:rPr>
        <w:fldChar w:fldCharType="end"/>
      </w:r>
    </w:p>
    <w:p>
      <w:pPr>
        <w:tabs>
          <w:tab w:val="right" w:leader="dot" w:pos="9402"/>
        </w:tabs>
        <w:spacing w:line="480" w:lineRule="exact"/>
        <w:ind w:left="420" w:leftChars="200"/>
        <w:rPr>
          <w:rFonts w:ascii="方正仿宋_GBK" w:hAnsi="Calibri" w:eastAsia="方正仿宋_GBK" w:cs="Times New Roman"/>
          <w:color w:val="auto"/>
          <w:sz w:val="18"/>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方正小标宋_GBK" w:hAnsi="宋体" w:eastAsia="方正小标宋_GBK" w:cs="Times New Roman"/>
          <w:color w:val="auto"/>
          <w:szCs w:val="21"/>
        </w:rPr>
        <w:fldChar w:fldCharType="end"/>
      </w:r>
    </w:p>
    <w:p>
      <w:pPr>
        <w:pStyle w:val="2"/>
        <w:bidi w:val="0"/>
        <w:jc w:val="center"/>
        <w:rPr>
          <w:rFonts w:hint="eastAsia" w:ascii="微软雅黑" w:hAnsi="微软雅黑" w:eastAsia="微软雅黑" w:cs="微软雅黑"/>
          <w:b/>
          <w:color w:val="auto"/>
        </w:rPr>
      </w:pPr>
      <w:bookmarkStart w:id="0" w:name="_Toc25875"/>
      <w:bookmarkStart w:id="1" w:name="_Toc485108766"/>
      <w:bookmarkStart w:id="2" w:name="_Toc12789052"/>
      <w:bookmarkStart w:id="3" w:name="_Toc11641050"/>
      <w:r>
        <w:rPr>
          <w:rFonts w:hint="eastAsia" w:ascii="微软雅黑" w:hAnsi="微软雅黑" w:eastAsia="微软雅黑" w:cs="微软雅黑"/>
          <w:b/>
          <w:bCs/>
          <w:color w:val="auto"/>
          <w:sz w:val="36"/>
          <w:szCs w:val="36"/>
        </w:rPr>
        <w:t>第一篇  比选邀请书</w:t>
      </w:r>
      <w:bookmarkEnd w:id="0"/>
      <w:bookmarkEnd w:id="1"/>
      <w:bookmarkEnd w:id="2"/>
      <w:bookmarkEnd w:id="3"/>
    </w:p>
    <w:p>
      <w:pPr>
        <w:ind w:firstLine="480" w:firstLineChars="200"/>
        <w:jc w:val="left"/>
        <w:rPr>
          <w:rFonts w:hint="eastAsia" w:ascii="方正仿宋_GBK" w:hAnsi="宋体" w:eastAsia="方正仿宋_GBK" w:cs="Times New Roman"/>
          <w:color w:val="auto"/>
          <w:sz w:val="24"/>
          <w:szCs w:val="24"/>
        </w:rPr>
      </w:pPr>
      <w:bookmarkStart w:id="4" w:name="_Toc373860293"/>
      <w:bookmarkStart w:id="5" w:name="_Toc317775178"/>
      <w:r>
        <w:rPr>
          <w:rFonts w:hint="eastAsia" w:ascii="方正仿宋_GBK" w:hAnsi="宋体" w:eastAsia="方正仿宋_GBK" w:cs="Times New Roman"/>
          <w:color w:val="auto"/>
          <w:sz w:val="24"/>
          <w:szCs w:val="24"/>
        </w:rPr>
        <w:t>重庆医科大学附属永川医院对</w:t>
      </w:r>
      <w:r>
        <w:rPr>
          <w:rFonts w:hint="eastAsia" w:ascii="方正仿宋_GBK" w:hAnsi="宋体" w:eastAsia="方正仿宋_GBK" w:cs="Times New Roman"/>
          <w:color w:val="auto"/>
          <w:sz w:val="24"/>
          <w:szCs w:val="24"/>
          <w:lang w:eastAsia="zh-CN"/>
        </w:rPr>
        <w:t>可回收垃圾收购处置服务</w:t>
      </w:r>
      <w:r>
        <w:rPr>
          <w:rFonts w:hint="eastAsia" w:ascii="方正仿宋_GBK" w:hAnsi="宋体" w:eastAsia="方正仿宋_GBK" w:cs="Times New Roman"/>
          <w:color w:val="auto"/>
          <w:sz w:val="24"/>
          <w:szCs w:val="24"/>
        </w:rPr>
        <w:t>进行院内比选采购。欢迎有资格、有实力的潜在供应商参加。</w:t>
      </w:r>
    </w:p>
    <w:p>
      <w:pPr>
        <w:pStyle w:val="3"/>
        <w:spacing w:line="240" w:lineRule="auto"/>
        <w:rPr>
          <w:rFonts w:hint="eastAsia" w:ascii="微软雅黑" w:hAnsi="微软雅黑" w:eastAsia="微软雅黑" w:cs="微软雅黑"/>
          <w:color w:val="auto"/>
          <w:sz w:val="24"/>
          <w:szCs w:val="24"/>
        </w:rPr>
      </w:pPr>
      <w:bookmarkStart w:id="6" w:name="_Toc317775175"/>
      <w:bookmarkStart w:id="7" w:name="_Toc28443"/>
      <w:bookmarkStart w:id="8" w:name="_Toc485108767"/>
      <w:bookmarkStart w:id="9" w:name="_Toc313893526"/>
      <w:r>
        <w:rPr>
          <w:rFonts w:hint="eastAsia" w:ascii="微软雅黑" w:hAnsi="微软雅黑" w:eastAsia="微软雅黑" w:cs="微软雅黑"/>
          <w:color w:val="auto"/>
          <w:sz w:val="24"/>
          <w:szCs w:val="24"/>
        </w:rPr>
        <w:t>一、比选内容</w:t>
      </w:r>
      <w:bookmarkEnd w:id="6"/>
      <w:bookmarkEnd w:id="7"/>
      <w:bookmarkEnd w:id="8"/>
      <w:bookmarkEnd w:id="9"/>
    </w:p>
    <w:tbl>
      <w:tblPr>
        <w:tblStyle w:val="58"/>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1" w:hRule="atLeast"/>
        </w:trPr>
        <w:tc>
          <w:tcPr>
            <w:tcW w:w="3415"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851"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eastAsia" w:ascii="方正仿宋_GBK" w:hAnsi="宋体" w:eastAsia="方正仿宋_GBK"/>
                <w:color w:val="auto"/>
                <w:sz w:val="24"/>
                <w:szCs w:val="24"/>
                <w:lang w:val="en-US" w:eastAsia="zh-CN"/>
              </w:rPr>
            </w:pPr>
            <w:r>
              <w:rPr>
                <w:rFonts w:hint="eastAsia" w:ascii="方正仿宋_GBK" w:hAnsi="宋体" w:eastAsia="方正仿宋_GBK" w:cs="Times New Roman"/>
                <w:color w:val="auto"/>
                <w:sz w:val="24"/>
                <w:szCs w:val="24"/>
                <w:lang w:eastAsia="zh-CN"/>
              </w:rPr>
              <w:t>可回收垃圾收购处置服务</w:t>
            </w:r>
          </w:p>
        </w:tc>
        <w:tc>
          <w:tcPr>
            <w:tcW w:w="2548" w:type="dxa"/>
            <w:vAlign w:val="center"/>
          </w:tcPr>
          <w:p>
            <w:pPr>
              <w:spacing w:line="400" w:lineRule="exact"/>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851" w:type="dxa"/>
            <w:vAlign w:val="center"/>
          </w:tcPr>
          <w:p>
            <w:pPr>
              <w:spacing w:line="400" w:lineRule="exact"/>
              <w:jc w:val="center"/>
              <w:rPr>
                <w:rFonts w:hint="eastAsia" w:ascii="方正仿宋_GBK" w:hAnsi="宋体" w:eastAsia="方正仿宋_GBK"/>
                <w:color w:val="auto"/>
                <w:sz w:val="24"/>
                <w:szCs w:val="24"/>
                <w:lang w:val="en-US" w:eastAsia="zh-CN"/>
              </w:rPr>
            </w:pPr>
          </w:p>
        </w:tc>
      </w:tr>
    </w:tbl>
    <w:p>
      <w:pPr>
        <w:keepNext/>
        <w:keepLines/>
        <w:numPr>
          <w:ilvl w:val="0"/>
          <w:numId w:val="13"/>
        </w:numPr>
        <w:outlineLvl w:val="2"/>
        <w:rPr>
          <w:rFonts w:hint="eastAsia" w:ascii="方正仿宋_GBK" w:hAnsi="宋体" w:eastAsia="方正仿宋_GBK" w:cs="Times New Roman"/>
          <w:b/>
          <w:bCs w:val="0"/>
          <w:color w:val="auto"/>
          <w:sz w:val="24"/>
          <w:szCs w:val="24"/>
        </w:rPr>
      </w:pPr>
      <w:bookmarkStart w:id="10" w:name="_Toc485108768"/>
      <w:bookmarkStart w:id="11" w:name="_Toc6609"/>
      <w:r>
        <w:rPr>
          <w:rStyle w:val="69"/>
          <w:rFonts w:hint="eastAsia" w:ascii="微软雅黑" w:hAnsi="微软雅黑" w:eastAsia="微软雅黑" w:cs="微软雅黑"/>
          <w:b/>
          <w:bCs w:val="0"/>
          <w:color w:val="auto"/>
          <w:sz w:val="24"/>
          <w:szCs w:val="24"/>
          <w:lang w:val="en-US" w:eastAsia="zh-CN"/>
        </w:rPr>
        <w:t>资金来源</w:t>
      </w:r>
      <w:bookmarkEnd w:id="10"/>
      <w:bookmarkEnd w:id="11"/>
      <w:r>
        <w:rPr>
          <w:rFonts w:hint="eastAsia"/>
          <w:b/>
          <w:bCs w:val="0"/>
          <w:color w:val="auto"/>
        </w:rPr>
        <w:t>：</w:t>
      </w:r>
      <w:r>
        <w:rPr>
          <w:rStyle w:val="69"/>
          <w:rFonts w:hint="eastAsia" w:ascii="微软雅黑" w:hAnsi="微软雅黑" w:eastAsia="微软雅黑" w:cs="微软雅黑"/>
          <w:b/>
          <w:bCs w:val="0"/>
          <w:color w:val="auto"/>
          <w:sz w:val="24"/>
          <w:szCs w:val="24"/>
          <w:lang w:val="en-US" w:eastAsia="zh-CN"/>
        </w:rPr>
        <w:t>自筹资金。</w:t>
      </w:r>
    </w:p>
    <w:p>
      <w:pPr>
        <w:pStyle w:val="22"/>
        <w:numPr>
          <w:ilvl w:val="0"/>
          <w:numId w:val="0"/>
        </w:numPr>
        <w:rPr>
          <w:rFonts w:hint="eastAsia" w:eastAsia="微软雅黑"/>
          <w:b/>
          <w:bCs/>
          <w:color w:val="auto"/>
          <w:lang w:val="en-US" w:eastAsia="zh-CN"/>
        </w:rPr>
      </w:pPr>
      <w:r>
        <w:rPr>
          <w:rFonts w:hint="eastAsia" w:ascii="微软雅黑" w:hAnsi="微软雅黑" w:eastAsia="微软雅黑" w:cs="微软雅黑"/>
          <w:b/>
          <w:bCs/>
          <w:color w:val="auto"/>
          <w:sz w:val="24"/>
          <w:szCs w:val="24"/>
          <w:lang w:eastAsia="zh-CN"/>
        </w:rPr>
        <w:t>三</w:t>
      </w:r>
      <w:r>
        <w:rPr>
          <w:rFonts w:hint="eastAsia" w:ascii="微软雅黑" w:hAnsi="微软雅黑" w:eastAsia="微软雅黑" w:cs="微软雅黑"/>
          <w:b/>
          <w:bCs/>
          <w:color w:val="auto"/>
          <w:sz w:val="24"/>
          <w:szCs w:val="24"/>
        </w:rPr>
        <w:t>、</w:t>
      </w:r>
      <w:r>
        <w:rPr>
          <w:rFonts w:hint="eastAsia" w:ascii="微软雅黑" w:hAnsi="微软雅黑" w:eastAsia="微软雅黑" w:cs="微软雅黑"/>
          <w:b/>
          <w:bCs/>
          <w:color w:val="auto"/>
          <w:sz w:val="24"/>
          <w:szCs w:val="24"/>
          <w:lang w:eastAsia="zh-CN"/>
        </w:rPr>
        <w:t>项目预算：无。</w:t>
      </w:r>
    </w:p>
    <w:p>
      <w:pPr>
        <w:pStyle w:val="3"/>
        <w:spacing w:line="240" w:lineRule="auto"/>
        <w:rPr>
          <w:rStyle w:val="69"/>
          <w:rFonts w:hint="eastAsia" w:ascii="微软雅黑" w:hAnsi="微软雅黑" w:eastAsia="微软雅黑" w:cs="微软雅黑"/>
          <w:b/>
          <w:color w:val="auto"/>
          <w:sz w:val="24"/>
          <w:szCs w:val="24"/>
        </w:rPr>
      </w:pPr>
      <w:bookmarkStart w:id="12" w:name="_Toc485108769"/>
      <w:bookmarkStart w:id="13" w:name="_Toc23857"/>
      <w:r>
        <w:rPr>
          <w:rFonts w:hint="eastAsia" w:ascii="微软雅黑" w:hAnsi="微软雅黑" w:eastAsia="微软雅黑" w:cs="微软雅黑"/>
          <w:color w:val="auto"/>
          <w:sz w:val="24"/>
          <w:szCs w:val="24"/>
          <w:lang w:eastAsia="zh-CN"/>
        </w:rPr>
        <w:t>四</w:t>
      </w:r>
      <w:r>
        <w:rPr>
          <w:rFonts w:hint="eastAsia" w:ascii="微软雅黑" w:hAnsi="微软雅黑" w:eastAsia="微软雅黑" w:cs="微软雅黑"/>
          <w:color w:val="auto"/>
          <w:sz w:val="24"/>
          <w:szCs w:val="24"/>
        </w:rPr>
        <w:t>、</w:t>
      </w:r>
      <w:bookmarkEnd w:id="12"/>
      <w:r>
        <w:rPr>
          <w:rFonts w:hint="eastAsia" w:ascii="微软雅黑" w:hAnsi="微软雅黑" w:eastAsia="微软雅黑" w:cs="微软雅黑"/>
          <w:color w:val="auto"/>
          <w:sz w:val="24"/>
          <w:szCs w:val="24"/>
        </w:rPr>
        <w:t>供应商资格要求</w:t>
      </w:r>
      <w:bookmarkEnd w:id="13"/>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成交供应商是指向采购人提供</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w:t>
      </w:r>
      <w:r>
        <w:rPr>
          <w:rFonts w:hint="eastAsia" w:ascii="方正仿宋_GBK" w:hAnsi="宋体" w:eastAsia="方正仿宋_GBK"/>
          <w:color w:val="auto"/>
          <w:sz w:val="24"/>
          <w:szCs w:val="24"/>
        </w:rPr>
        <w:t>基本</w:t>
      </w:r>
      <w:r>
        <w:rPr>
          <w:rFonts w:hint="eastAsia" w:ascii="方正仿宋_GBK" w:hAnsi="宋体" w:eastAsia="方正仿宋_GBK" w:cs="Times New Roman"/>
          <w:color w:val="auto"/>
          <w:sz w:val="24"/>
          <w:szCs w:val="24"/>
        </w:rPr>
        <w:t>资格条件</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1.具有独立承担民事责任的能力；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2.具有良好的商业信誉和健全的财务会计制度；</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3.具有履行合同所必需的设备和专业技术能力；</w:t>
      </w:r>
    </w:p>
    <w:p>
      <w:pPr>
        <w:spacing w:line="4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4.有依法缴纳税收和社会保障资金的良好记录；</w:t>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5.参加政府采购活动前三年内，在经营活动中没有重大违法记录；</w:t>
      </w:r>
    </w:p>
    <w:p>
      <w:pPr>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6.法律、行政法规规定的其他条件。</w:t>
      </w:r>
    </w:p>
    <w:p>
      <w:pPr>
        <w:pageBreakBefore w:val="0"/>
        <w:widowControl w:val="0"/>
        <w:kinsoku/>
        <w:wordWrap/>
        <w:overflowPunct/>
        <w:topLinePunct w:val="0"/>
        <w:autoSpaceDE/>
        <w:autoSpaceDN/>
        <w:bidi w:val="0"/>
        <w:adjustRightInd/>
        <w:snapToGrid/>
        <w:ind w:firstLine="480" w:firstLineChars="200"/>
        <w:textAlignment w:val="auto"/>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lang w:eastAsia="zh-CN"/>
        </w:rPr>
        <w:t>（二）特定资格条件</w:t>
      </w:r>
      <w:bookmarkEnd w:id="4"/>
      <w:bookmarkEnd w:id="5"/>
      <w:bookmarkStart w:id="14" w:name="_Toc11958"/>
      <w:bookmarkStart w:id="15" w:name="_Toc6"/>
      <w:bookmarkStart w:id="16" w:name="_Toc102227313"/>
      <w:bookmarkStart w:id="17" w:name="_Toc485108774"/>
    </w:p>
    <w:p>
      <w:pPr>
        <w:ind w:firstLine="480" w:firstLineChars="20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rPr>
        <w:t>有效的三证合一营业执照、排污许可证。</w:t>
      </w:r>
    </w:p>
    <w:p>
      <w:pPr>
        <w:pStyle w:val="3"/>
        <w:spacing w:line="240" w:lineRule="auto"/>
        <w:rPr>
          <w:rFonts w:hint="eastAsia" w:ascii="微软雅黑" w:hAnsi="微软雅黑" w:eastAsia="微软雅黑" w:cs="微软雅黑"/>
          <w:color w:val="auto"/>
          <w:sz w:val="24"/>
          <w:szCs w:val="24"/>
          <w:lang w:val="en-US" w:eastAsia="zh-CN"/>
        </w:rPr>
      </w:pPr>
      <w:r>
        <w:rPr>
          <w:rFonts w:hint="eastAsia" w:ascii="微软雅黑" w:hAnsi="微软雅黑" w:eastAsia="微软雅黑" w:cs="微软雅黑"/>
          <w:color w:val="auto"/>
          <w:sz w:val="24"/>
          <w:szCs w:val="24"/>
          <w:lang w:val="en-US" w:eastAsia="zh-CN"/>
        </w:rPr>
        <w:t>五、比选有关说明</w:t>
      </w:r>
      <w:bookmarkEnd w:id="14"/>
      <w:bookmarkEnd w:id="15"/>
      <w:r>
        <w:rPr>
          <w:rFonts w:hint="eastAsia" w:ascii="微软雅黑" w:hAnsi="微软雅黑" w:eastAsia="微软雅黑" w:cs="微软雅黑"/>
          <w:color w:val="auto"/>
          <w:sz w:val="24"/>
          <w:szCs w:val="24"/>
          <w:lang w:val="en-US" w:eastAsia="zh-CN"/>
        </w:rPr>
        <w:tab/>
      </w:r>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（一）凡有意参加比选的供应商，请在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官网下载本项目比选文件以及图纸、澄清等比选前公布的所有项目资料，无论供应商下载与否，均视为已知晓所有比选实质性要求内容。</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（二）比选公告期限：自采购公告发布之日</w:t>
      </w:r>
      <w:r>
        <w:rPr>
          <w:rFonts w:hint="eastAsia" w:ascii="方正仿宋_GBK" w:hAnsi="宋体" w:eastAsia="方正仿宋_GBK" w:cs="Times New Roman"/>
          <w:b/>
          <w:bCs/>
          <w:color w:val="auto"/>
          <w:sz w:val="24"/>
          <w:szCs w:val="24"/>
        </w:rPr>
        <w:t>（</w:t>
      </w:r>
      <w:r>
        <w:rPr>
          <w:rFonts w:hint="eastAsia" w:ascii="方正仿宋_GBK" w:hAnsi="宋体" w:eastAsia="方正仿宋_GBK" w:cs="Times New Roman"/>
          <w:b/>
          <w:bCs/>
          <w:color w:val="auto"/>
          <w:sz w:val="24"/>
          <w:szCs w:val="24"/>
          <w:lang w:eastAsia="zh-CN"/>
        </w:rPr>
        <w:t>202</w:t>
      </w:r>
      <w:r>
        <w:rPr>
          <w:rFonts w:hint="eastAsia" w:ascii="方正仿宋_GBK" w:hAnsi="宋体" w:eastAsia="方正仿宋_GBK" w:cs="Times New Roman"/>
          <w:b/>
          <w:bCs/>
          <w:color w:val="auto"/>
          <w:sz w:val="24"/>
          <w:szCs w:val="24"/>
          <w:lang w:val="en-US" w:eastAsia="zh-CN"/>
        </w:rPr>
        <w:t>4</w:t>
      </w:r>
      <w:r>
        <w:rPr>
          <w:rFonts w:hint="eastAsia" w:ascii="方正仿宋_GBK" w:hAnsi="宋体" w:eastAsia="方正仿宋_GBK" w:cs="Times New Roman"/>
          <w:b/>
          <w:bCs/>
          <w:color w:val="auto"/>
          <w:sz w:val="24"/>
          <w:szCs w:val="24"/>
        </w:rPr>
        <w:t>年</w:t>
      </w:r>
      <w:r>
        <w:rPr>
          <w:rFonts w:hint="eastAsia" w:ascii="方正仿宋_GBK" w:hAnsi="宋体" w:eastAsia="方正仿宋_GBK" w:cs="Times New Roman"/>
          <w:b/>
          <w:bCs/>
          <w:color w:val="auto"/>
          <w:sz w:val="24"/>
          <w:szCs w:val="24"/>
          <w:lang w:val="en-US" w:eastAsia="zh-CN"/>
        </w:rPr>
        <w:t>6</w:t>
      </w:r>
      <w:r>
        <w:rPr>
          <w:rFonts w:hint="eastAsia" w:ascii="方正仿宋_GBK" w:hAnsi="宋体" w:eastAsia="方正仿宋_GBK" w:cs="Times New Roman"/>
          <w:b/>
          <w:bCs/>
          <w:color w:val="auto"/>
          <w:sz w:val="24"/>
          <w:szCs w:val="24"/>
        </w:rPr>
        <w:t>月</w:t>
      </w:r>
      <w:r>
        <w:rPr>
          <w:rFonts w:hint="eastAsia" w:ascii="方正仿宋_GBK" w:hAnsi="宋体" w:eastAsia="方正仿宋_GBK" w:cs="Times New Roman"/>
          <w:b/>
          <w:bCs/>
          <w:color w:val="auto"/>
          <w:sz w:val="24"/>
          <w:szCs w:val="24"/>
          <w:lang w:val="en-US" w:eastAsia="zh-CN"/>
        </w:rPr>
        <w:t>12</w:t>
      </w:r>
      <w:r>
        <w:rPr>
          <w:rFonts w:hint="eastAsia" w:ascii="方正仿宋_GBK" w:hAnsi="宋体" w:eastAsia="方正仿宋_GBK" w:cs="Times New Roman"/>
          <w:b/>
          <w:bCs/>
          <w:color w:val="auto"/>
          <w:sz w:val="24"/>
          <w:szCs w:val="24"/>
        </w:rPr>
        <w:t>日）</w:t>
      </w:r>
      <w:r>
        <w:rPr>
          <w:rFonts w:hint="eastAsia" w:ascii="方正仿宋_GBK" w:hAnsi="宋体" w:eastAsia="方正仿宋_GBK" w:cs="Times New Roman"/>
          <w:color w:val="auto"/>
          <w:sz w:val="24"/>
          <w:szCs w:val="24"/>
        </w:rPr>
        <w:t>起</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个工作日。</w:t>
      </w:r>
    </w:p>
    <w:p>
      <w:pPr>
        <w:spacing w:line="400" w:lineRule="exact"/>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）凡有意参加的供应商，请于</w:t>
      </w:r>
      <w:r>
        <w:rPr>
          <w:rFonts w:hint="eastAsia" w:ascii="方正仿宋_GBK" w:hAnsi="宋体" w:eastAsia="方正仿宋_GBK"/>
          <w:b/>
          <w:bCs/>
          <w:color w:val="auto"/>
          <w:sz w:val="24"/>
          <w:szCs w:val="24"/>
        </w:rPr>
        <w:t>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6</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12</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0:00</w:t>
      </w:r>
      <w:r>
        <w:rPr>
          <w:rFonts w:hint="eastAsia" w:ascii="方正仿宋_GBK" w:hAnsi="宋体" w:eastAsia="方正仿宋_GBK"/>
          <w:b/>
          <w:bCs/>
          <w:color w:val="auto"/>
          <w:sz w:val="24"/>
          <w:szCs w:val="24"/>
        </w:rPr>
        <w:t>时至202</w:t>
      </w:r>
      <w:r>
        <w:rPr>
          <w:rFonts w:hint="eastAsia" w:ascii="方正仿宋_GBK" w:hAnsi="宋体" w:eastAsia="方正仿宋_GBK"/>
          <w:b/>
          <w:bCs/>
          <w:color w:val="auto"/>
          <w:sz w:val="24"/>
          <w:szCs w:val="24"/>
          <w:lang w:val="en-US" w:eastAsia="zh-CN"/>
        </w:rPr>
        <w:t>4</w:t>
      </w:r>
      <w:r>
        <w:rPr>
          <w:rFonts w:hint="eastAsia" w:ascii="方正仿宋_GBK" w:hAnsi="宋体" w:eastAsia="方正仿宋_GBK"/>
          <w:b/>
          <w:bCs/>
          <w:color w:val="auto"/>
          <w:sz w:val="24"/>
          <w:szCs w:val="24"/>
        </w:rPr>
        <w:t>年</w:t>
      </w:r>
      <w:r>
        <w:rPr>
          <w:rFonts w:hint="eastAsia" w:ascii="方正仿宋_GBK" w:hAnsi="宋体" w:eastAsia="方正仿宋_GBK"/>
          <w:b/>
          <w:bCs/>
          <w:color w:val="auto"/>
          <w:sz w:val="24"/>
          <w:szCs w:val="24"/>
          <w:lang w:val="en-US" w:eastAsia="zh-CN"/>
        </w:rPr>
        <w:t>6</w:t>
      </w:r>
      <w:r>
        <w:rPr>
          <w:rFonts w:hint="eastAsia" w:ascii="方正仿宋_GBK" w:hAnsi="宋体" w:eastAsia="方正仿宋_GBK"/>
          <w:b/>
          <w:bCs/>
          <w:color w:val="auto"/>
          <w:sz w:val="24"/>
          <w:szCs w:val="24"/>
        </w:rPr>
        <w:t>月</w:t>
      </w:r>
      <w:r>
        <w:rPr>
          <w:rFonts w:hint="eastAsia" w:ascii="方正仿宋_GBK" w:hAnsi="宋体" w:eastAsia="方正仿宋_GBK"/>
          <w:b/>
          <w:bCs/>
          <w:color w:val="auto"/>
          <w:sz w:val="24"/>
          <w:szCs w:val="24"/>
          <w:lang w:val="en-US" w:eastAsia="zh-CN"/>
        </w:rPr>
        <w:t>14</w:t>
      </w:r>
      <w:r>
        <w:rPr>
          <w:rFonts w:hint="eastAsia" w:ascii="方正仿宋_GBK" w:hAnsi="宋体" w:eastAsia="方正仿宋_GBK"/>
          <w:b/>
          <w:bCs/>
          <w:color w:val="auto"/>
          <w:sz w:val="24"/>
          <w:szCs w:val="24"/>
        </w:rPr>
        <w:t>日</w:t>
      </w:r>
      <w:r>
        <w:rPr>
          <w:rFonts w:hint="eastAsia" w:ascii="方正仿宋_GBK" w:hAnsi="宋体" w:eastAsia="方正仿宋_GBK"/>
          <w:b/>
          <w:bCs/>
          <w:color w:val="auto"/>
          <w:sz w:val="24"/>
          <w:szCs w:val="24"/>
          <w:lang w:val="en-US" w:eastAsia="zh-CN"/>
        </w:rPr>
        <w:t>24:00</w:t>
      </w:r>
      <w:r>
        <w:rPr>
          <w:rFonts w:hint="eastAsia" w:ascii="方正仿宋_GBK" w:hAnsi="宋体" w:eastAsia="方正仿宋_GBK"/>
          <w:b/>
          <w:bCs/>
          <w:color w:val="auto"/>
          <w:sz w:val="24"/>
          <w:szCs w:val="24"/>
        </w:rPr>
        <w:t>时</w:t>
      </w:r>
      <w:r>
        <w:rPr>
          <w:rFonts w:hint="eastAsia" w:ascii="方正仿宋_GBK" w:hAnsi="宋体" w:eastAsia="方正仿宋_GBK"/>
          <w:color w:val="auto"/>
          <w:sz w:val="24"/>
          <w:szCs w:val="24"/>
        </w:rPr>
        <w:t>（法定公休日、法定节假日除外）</w:t>
      </w:r>
      <w:r>
        <w:rPr>
          <w:rFonts w:hint="eastAsia" w:ascii="方正仿宋_GBK" w:hAnsi="宋体" w:eastAsia="方正仿宋_GBK"/>
          <w:b/>
          <w:bCs/>
          <w:color w:val="auto"/>
          <w:sz w:val="24"/>
          <w:szCs w:val="24"/>
          <w:u w:val="single"/>
          <w:lang w:eastAsia="zh-CN"/>
        </w:rPr>
        <w:t>现场递交</w:t>
      </w:r>
      <w:r>
        <w:rPr>
          <w:rFonts w:hint="eastAsia" w:ascii="方正仿宋_GBK" w:hAnsi="宋体" w:eastAsia="方正仿宋_GBK"/>
          <w:b w:val="0"/>
          <w:bCs w:val="0"/>
          <w:color w:val="auto"/>
          <w:sz w:val="24"/>
          <w:szCs w:val="24"/>
          <w:lang w:eastAsia="zh-CN"/>
        </w:rPr>
        <w:t>或</w:t>
      </w:r>
      <w:r>
        <w:rPr>
          <w:rFonts w:hint="eastAsia" w:ascii="方正仿宋_GBK" w:hAnsi="宋体" w:eastAsia="方正仿宋_GBK"/>
          <w:b/>
          <w:bCs/>
          <w:color w:val="auto"/>
          <w:sz w:val="24"/>
          <w:szCs w:val="24"/>
          <w:u w:val="single"/>
        </w:rPr>
        <w:t>顺丰邮寄纸质版</w:t>
      </w:r>
      <w:r>
        <w:rPr>
          <w:rFonts w:hint="eastAsia" w:ascii="方正仿宋_GBK" w:hAnsi="宋体" w:eastAsia="方正仿宋_GBK"/>
          <w:b/>
          <w:bCs/>
          <w:color w:val="auto"/>
          <w:sz w:val="24"/>
          <w:szCs w:val="24"/>
        </w:rPr>
        <w:t>资质文件报名。</w:t>
      </w:r>
    </w:p>
    <w:p>
      <w:pPr>
        <w:spacing w:line="400" w:lineRule="exact"/>
        <w:ind w:firstLine="482" w:firstLineChars="200"/>
        <w:jc w:val="left"/>
        <w:rPr>
          <w:rFonts w:ascii="方正仿宋_GBK" w:hAnsi="宋体" w:eastAsia="方正仿宋_GBK" w:cs="Times New Roman"/>
          <w:color w:val="auto"/>
          <w:sz w:val="24"/>
          <w:szCs w:val="24"/>
        </w:rPr>
      </w:pPr>
      <w:r>
        <w:rPr>
          <w:rFonts w:hint="eastAsia" w:ascii="方正仿宋_GBK" w:hAnsi="宋体" w:eastAsia="方正仿宋_GBK"/>
          <w:b/>
          <w:bCs/>
          <w:color w:val="auto"/>
          <w:sz w:val="24"/>
          <w:szCs w:val="24"/>
        </w:rPr>
        <w:t>报名方式：</w:t>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fldChar w:fldCharType="begin"/>
      </w:r>
      <w:r>
        <w:rPr>
          <w:rFonts w:hint="eastAsia" w:ascii="方正仿宋_GBK" w:hAnsi="宋体" w:eastAsia="方正仿宋_GBK"/>
          <w:b/>
          <w:bCs/>
          <w:color w:val="auto"/>
          <w:sz w:val="24"/>
          <w:szCs w:val="24"/>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方正仿宋_GBK" w:hAnsi="宋体" w:eastAsia="方正仿宋_GBK"/>
          <w:b/>
          <w:bCs/>
          <w:color w:val="auto"/>
          <w:sz w:val="24"/>
          <w:szCs w:val="24"/>
        </w:rPr>
        <w:fldChar w:fldCharType="separate"/>
      </w:r>
      <w:r>
        <w:rPr>
          <w:rFonts w:hint="eastAsia" w:ascii="方正仿宋_GBK" w:hAnsi="宋体" w:eastAsia="方正仿宋_GBK"/>
          <w:b/>
          <w:bCs/>
          <w:color w:val="auto"/>
          <w:sz w:val="24"/>
          <w:szCs w:val="24"/>
        </w:rPr>
        <w:t>请务必将参与</w:t>
      </w:r>
      <w:r>
        <w:rPr>
          <w:rFonts w:hint="eastAsia" w:ascii="方正仿宋_GBK" w:hAnsi="宋体" w:eastAsia="方正仿宋_GBK"/>
          <w:b/>
          <w:bCs/>
          <w:color w:val="auto"/>
          <w:sz w:val="24"/>
          <w:szCs w:val="24"/>
          <w:lang w:eastAsia="zh-CN"/>
        </w:rPr>
        <w:t>比选</w:t>
      </w:r>
      <w:r>
        <w:rPr>
          <w:rFonts w:hint="eastAsia" w:ascii="方正仿宋_GBK" w:hAnsi="宋体" w:eastAsia="方正仿宋_GBK"/>
          <w:b/>
          <w:bCs/>
          <w:color w:val="auto"/>
          <w:sz w:val="24"/>
          <w:szCs w:val="24"/>
        </w:rPr>
        <w:t>的采购项目名称及采购项目编号、供</w:t>
      </w:r>
      <w:bookmarkStart w:id="161" w:name="_GoBack"/>
      <w:bookmarkEnd w:id="161"/>
      <w:r>
        <w:rPr>
          <w:rFonts w:hint="eastAsia" w:ascii="方正仿宋_GBK" w:hAnsi="宋体" w:eastAsia="方正仿宋_GBK"/>
          <w:b/>
          <w:bCs/>
          <w:color w:val="auto"/>
          <w:sz w:val="24"/>
          <w:szCs w:val="24"/>
        </w:rPr>
        <w:t>应商名称、联系人名称及联系方式、电子邮箱地址</w:t>
      </w:r>
      <w:r>
        <w:rPr>
          <w:rFonts w:hint="eastAsia" w:ascii="方正仿宋_GBK" w:hAnsi="宋体" w:eastAsia="方正仿宋_GBK"/>
          <w:b/>
          <w:bCs/>
          <w:color w:val="auto"/>
          <w:sz w:val="24"/>
          <w:szCs w:val="24"/>
          <w:lang w:eastAsia="zh-CN"/>
        </w:rPr>
        <w:t>、如不是法人参加还需提供法人授权文件</w:t>
      </w:r>
      <w:r>
        <w:rPr>
          <w:rFonts w:hint="eastAsia" w:ascii="方正仿宋_GBK" w:hAnsi="宋体" w:eastAsia="方正仿宋_GBK"/>
          <w:b/>
          <w:bCs/>
          <w:color w:val="auto"/>
          <w:sz w:val="24"/>
          <w:szCs w:val="24"/>
        </w:rPr>
        <w:t>，供应商一般资质和特定资格要求等相关信息，盖鲜章后的清晰纸质版文件</w:t>
      </w:r>
      <w:r>
        <w:rPr>
          <w:rFonts w:hint="eastAsia" w:ascii="方正仿宋_GBK" w:hAnsi="宋体" w:eastAsia="方正仿宋_GBK"/>
          <w:b/>
          <w:bCs/>
          <w:color w:val="auto"/>
          <w:sz w:val="24"/>
          <w:szCs w:val="24"/>
          <w:lang w:eastAsia="zh-CN"/>
        </w:rPr>
        <w:t>现场递交或者</w:t>
      </w:r>
      <w:r>
        <w:rPr>
          <w:rFonts w:hint="eastAsia" w:ascii="方正仿宋_GBK" w:hAnsi="宋体" w:eastAsia="方正仿宋_GBK"/>
          <w:b/>
          <w:bCs/>
          <w:color w:val="auto"/>
          <w:sz w:val="24"/>
          <w:szCs w:val="24"/>
        </w:rPr>
        <w:t>通过</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rPr>
        <w:t>给采购办</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老师收(收件地址:</w:t>
      </w:r>
      <w:r>
        <w:rPr>
          <w:rFonts w:hint="eastAsia" w:ascii="方正仿宋_GBK" w:hAnsi="宋体" w:eastAsia="方正仿宋_GBK"/>
          <w:b/>
          <w:bCs/>
          <w:color w:val="auto"/>
          <w:sz w:val="24"/>
          <w:szCs w:val="24"/>
          <w:u w:val="single"/>
        </w:rPr>
        <w:t>重庆市永川区萱花路439号采购办</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lang w:eastAsia="zh-CN"/>
        </w:rPr>
        <w:t>李</w:t>
      </w:r>
      <w:r>
        <w:rPr>
          <w:rFonts w:hint="eastAsia" w:ascii="方正仿宋_GBK" w:hAnsi="宋体" w:eastAsia="方正仿宋_GBK"/>
          <w:b/>
          <w:bCs/>
          <w:color w:val="auto"/>
          <w:sz w:val="24"/>
          <w:szCs w:val="24"/>
        </w:rPr>
        <w:t>老师:023-85385105,请一定使用</w:t>
      </w:r>
      <w:r>
        <w:rPr>
          <w:rFonts w:hint="eastAsia" w:ascii="方正仿宋_GBK" w:hAnsi="宋体" w:eastAsia="方正仿宋_GBK"/>
          <w:b/>
          <w:bCs/>
          <w:color w:val="auto"/>
          <w:sz w:val="24"/>
          <w:szCs w:val="24"/>
          <w:u w:val="single"/>
        </w:rPr>
        <w:t>顺丰邮寄</w:t>
      </w:r>
      <w:r>
        <w:rPr>
          <w:rFonts w:hint="eastAsia" w:ascii="方正仿宋_GBK" w:hAnsi="宋体" w:eastAsia="方正仿宋_GBK"/>
          <w:b/>
          <w:bCs/>
          <w:color w:val="auto"/>
          <w:sz w:val="24"/>
          <w:szCs w:val="24"/>
          <w:u w:val="none"/>
          <w:lang w:eastAsia="zh-CN"/>
        </w:rPr>
        <w:t>，拒收</w:t>
      </w:r>
      <w:r>
        <w:rPr>
          <w:rFonts w:hint="eastAsia" w:ascii="方正仿宋_GBK" w:hAnsi="宋体" w:eastAsia="方正仿宋_GBK"/>
          <w:b/>
          <w:bCs/>
          <w:color w:val="auto"/>
          <w:sz w:val="24"/>
          <w:szCs w:val="24"/>
          <w:u w:val="single"/>
          <w:lang w:eastAsia="zh-CN"/>
        </w:rPr>
        <w:t>到付</w:t>
      </w:r>
      <w:r>
        <w:rPr>
          <w:rFonts w:hint="eastAsia" w:ascii="方正仿宋_GBK" w:hAnsi="宋体" w:eastAsia="方正仿宋_GBK"/>
          <w:b/>
          <w:bCs/>
          <w:color w:val="auto"/>
          <w:sz w:val="24"/>
          <w:szCs w:val="24"/>
          <w:u w:val="none"/>
          <w:lang w:eastAsia="zh-CN"/>
        </w:rPr>
        <w:t>邮件</w:t>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b/>
          <w:bCs/>
          <w:color w:val="auto"/>
          <w:sz w:val="24"/>
          <w:szCs w:val="24"/>
        </w:rPr>
        <w:t>。</w:t>
      </w:r>
      <w:r>
        <w:rPr>
          <w:rFonts w:hint="eastAsia" w:ascii="方正仿宋_GBK" w:hAnsi="宋体" w:eastAsia="方正仿宋_GBK"/>
          <w:b/>
          <w:bCs/>
          <w:color w:val="auto"/>
          <w:sz w:val="24"/>
          <w:szCs w:val="24"/>
        </w:rPr>
        <w:fldChar w:fldCharType="end"/>
      </w:r>
      <w:r>
        <w:rPr>
          <w:rFonts w:hint="eastAsia" w:ascii="方正仿宋_GBK" w:hAnsi="宋体" w:eastAsia="方正仿宋_GBK" w:cs="Times New Roman"/>
          <w:color w:val="auto"/>
          <w:sz w:val="24"/>
          <w:szCs w:val="24"/>
        </w:rPr>
        <w:t>报名的单位名称必须与响应人名称相同，只有按上述规定报名后，才具备响应资格</w:t>
      </w:r>
      <w:r>
        <w:rPr>
          <w:rFonts w:hint="eastAsia" w:ascii="方正仿宋_GBK" w:hAnsi="宋体" w:eastAsia="方正仿宋_GBK" w:cs="Times New Roman"/>
          <w:color w:val="auto"/>
          <w:sz w:val="28"/>
          <w:szCs w:val="28"/>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（四）供应商须满足以下二种要件，其响应文件才被接受：</w:t>
      </w:r>
    </w:p>
    <w:p>
      <w:pPr>
        <w:spacing w:line="400" w:lineRule="exact"/>
        <w:ind w:left="10" w:leftChars="5" w:firstLine="720" w:firstLineChars="3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、按时</w:t>
      </w:r>
      <w:r>
        <w:rPr>
          <w:rFonts w:hint="eastAsia" w:ascii="方正仿宋_GBK" w:hAnsi="宋体" w:eastAsia="方正仿宋_GBK"/>
          <w:color w:val="auto"/>
          <w:sz w:val="24"/>
          <w:szCs w:val="24"/>
          <w:lang w:eastAsia="zh-CN"/>
        </w:rPr>
        <w:t>递交纸质版报名资料</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采购办公室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38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、按时递交了响应文件</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重庆医科大学附属永川医院</w:t>
      </w:r>
      <w:r>
        <w:rPr>
          <w:rFonts w:hint="eastAsia" w:ascii="方正仿宋_GBK" w:hAnsi="宋体" w:eastAsia="方正仿宋_GBK" w:cs="Times New Roman"/>
          <w:color w:val="auto"/>
          <w:sz w:val="24"/>
          <w:szCs w:val="24"/>
          <w:lang w:eastAsia="zh-CN"/>
        </w:rPr>
        <w:t>综合楼四楼会议室</w:t>
      </w:r>
      <w:r>
        <w:rPr>
          <w:rFonts w:hint="eastAsia" w:ascii="仿宋" w:hAnsi="仿宋" w:eastAsia="仿宋" w:cs="Times New Roman"/>
          <w:color w:val="auto"/>
          <w:sz w:val="24"/>
          <w:szCs w:val="24"/>
        </w:rPr>
        <w:t>）</w:t>
      </w:r>
      <w:r>
        <w:rPr>
          <w:rFonts w:hint="eastAsia" w:ascii="方正仿宋_GBK" w:hAnsi="宋体" w:eastAsia="方正仿宋_GBK" w:cs="Times New Roman"/>
          <w:color w:val="auto"/>
          <w:sz w:val="24"/>
          <w:szCs w:val="24"/>
        </w:rPr>
        <w:t>；</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（五）比选地点：重庆医科大学附属永川医院综合楼</w:t>
      </w: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楼会议室（地址：重庆市永川区萱花路439号）</w:t>
      </w:r>
    </w:p>
    <w:p>
      <w:pPr>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rPr>
        <w:t>（六）响应文件递交开始时间：</w:t>
      </w:r>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8" w:name="_Toc26538"/>
      <w:r>
        <w:rPr>
          <w:rFonts w:hint="eastAsia" w:ascii="方正仿宋_GBK" w:hAnsi="宋体" w:eastAsia="方正仿宋_GBK" w:cs="Times New Roman"/>
          <w:color w:val="auto"/>
          <w:sz w:val="24"/>
          <w:szCs w:val="24"/>
        </w:rPr>
        <w:t>（七）响应文件递交截止时间：</w:t>
      </w:r>
      <w:bookmarkEnd w:id="18"/>
      <w:r>
        <w:rPr>
          <w:rFonts w:hint="eastAsia" w:ascii="方正仿宋_GBK" w:hAnsi="宋体" w:eastAsia="方正仿宋_GBK" w:cs="Times New Roman"/>
          <w:color w:val="auto"/>
          <w:sz w:val="24"/>
          <w:szCs w:val="24"/>
          <w:lang w:eastAsia="zh-CN"/>
        </w:rPr>
        <w:t>待定。见官网通知</w:t>
      </w:r>
    </w:p>
    <w:p>
      <w:pPr>
        <w:ind w:firstLine="480" w:firstLineChars="200"/>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 xml:space="preserve"> </w:t>
      </w:r>
      <w:bookmarkStart w:id="19" w:name="_Toc7033"/>
      <w:r>
        <w:rPr>
          <w:rFonts w:hint="eastAsia" w:ascii="方正仿宋_GBK" w:hAnsi="宋体" w:eastAsia="方正仿宋_GBK" w:cs="Times New Roman"/>
          <w:color w:val="auto"/>
          <w:sz w:val="24"/>
          <w:szCs w:val="24"/>
        </w:rPr>
        <w:t>（八）比选开始时间：</w:t>
      </w:r>
      <w:bookmarkEnd w:id="19"/>
      <w:r>
        <w:rPr>
          <w:rFonts w:hint="eastAsia" w:ascii="方正仿宋_GBK" w:hAnsi="宋体" w:eastAsia="方正仿宋_GBK" w:cs="Times New Roman"/>
          <w:color w:val="auto"/>
          <w:sz w:val="24"/>
          <w:szCs w:val="24"/>
          <w:lang w:eastAsia="zh-CN"/>
        </w:rPr>
        <w:t>待定。</w:t>
      </w:r>
    </w:p>
    <w:p>
      <w:pPr>
        <w:pStyle w:val="3"/>
        <w:bidi w:val="0"/>
        <w:rPr>
          <w:rFonts w:hint="eastAsia" w:ascii="微软雅黑" w:hAnsi="微软雅黑" w:eastAsia="微软雅黑" w:cs="微软雅黑"/>
          <w:color w:val="auto"/>
          <w:sz w:val="24"/>
          <w:szCs w:val="24"/>
          <w:lang w:val="en-US" w:eastAsia="zh-CN"/>
        </w:rPr>
      </w:pPr>
      <w:bookmarkStart w:id="20" w:name="_Toc29866"/>
      <w:r>
        <w:rPr>
          <w:rFonts w:hint="eastAsia" w:ascii="微软雅黑" w:hAnsi="微软雅黑" w:eastAsia="微软雅黑" w:cs="微软雅黑"/>
          <w:color w:val="auto"/>
          <w:sz w:val="24"/>
          <w:szCs w:val="24"/>
          <w:lang w:eastAsia="zh-CN"/>
        </w:rPr>
        <w:t>六</w:t>
      </w:r>
      <w:r>
        <w:rPr>
          <w:rFonts w:hint="eastAsia" w:ascii="微软雅黑" w:hAnsi="微软雅黑" w:eastAsia="微软雅黑" w:cs="微软雅黑"/>
          <w:color w:val="auto"/>
          <w:sz w:val="24"/>
          <w:szCs w:val="24"/>
        </w:rPr>
        <w:t>、本项目无需购买比选文件</w:t>
      </w:r>
      <w:bookmarkEnd w:id="20"/>
      <w:bookmarkStart w:id="21" w:name="_Toc54718176"/>
      <w:bookmarkStart w:id="22" w:name="_Toc54171062"/>
      <w:bookmarkStart w:id="23" w:name="_Toc373860294"/>
    </w:p>
    <w:bookmarkEnd w:id="21"/>
    <w:bookmarkEnd w:id="22"/>
    <w:bookmarkEnd w:id="23"/>
    <w:p>
      <w:pPr>
        <w:pStyle w:val="3"/>
        <w:bidi w:val="0"/>
        <w:rPr>
          <w:rFonts w:hint="eastAsia" w:ascii="微软雅黑" w:hAnsi="微软雅黑" w:eastAsia="微软雅黑" w:cs="微软雅黑"/>
          <w:color w:val="auto"/>
          <w:sz w:val="24"/>
          <w:szCs w:val="24"/>
        </w:rPr>
      </w:pPr>
      <w:bookmarkStart w:id="24" w:name="_Toc1625"/>
      <w:bookmarkStart w:id="25" w:name="_Toc2806"/>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、其它有关规定</w:t>
      </w:r>
      <w:bookmarkEnd w:id="24"/>
      <w:bookmarkEnd w:id="25"/>
    </w:p>
    <w:p>
      <w:pPr>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（一）单位负责人为同一人或者存在直接控股、管理关系的不同供应商，</w:t>
      </w:r>
      <w:r>
        <w:rPr>
          <w:rFonts w:ascii="方正仿宋_GBK" w:hAnsi="宋体" w:eastAsia="方正仿宋_GBK" w:cs="Times New Roman"/>
          <w:color w:val="auto"/>
          <w:sz w:val="24"/>
          <w:szCs w:val="24"/>
        </w:rPr>
        <w:t>不得参加同一合同项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下的政府采购活动</w:t>
      </w:r>
      <w:r>
        <w:rPr>
          <w:rFonts w:hint="eastAsia" w:ascii="方正仿宋_GBK" w:hAnsi="宋体" w:eastAsia="方正仿宋_GBK" w:cs="Times New Roman"/>
          <w:color w:val="auto"/>
          <w:sz w:val="24"/>
          <w:szCs w:val="24"/>
        </w:rPr>
        <w:t>，否则均为无效比选。</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（二）为采购项目提供整体设计、规范编制或者项目管理、监理、检测等服务的供应商，不得再</w:t>
      </w:r>
      <w:r>
        <w:rPr>
          <w:rFonts w:ascii="方正仿宋_GBK" w:hAnsi="宋体" w:eastAsia="方正仿宋_GBK" w:cs="Times New Roman"/>
          <w:color w:val="auto"/>
          <w:sz w:val="24"/>
          <w:szCs w:val="24"/>
        </w:rPr>
        <w:t>参加</w:t>
      </w:r>
      <w:r>
        <w:rPr>
          <w:rFonts w:hint="eastAsia" w:ascii="方正仿宋_GBK" w:hAnsi="宋体" w:eastAsia="方正仿宋_GBK" w:cs="Times New Roman"/>
          <w:color w:val="auto"/>
          <w:sz w:val="24"/>
          <w:szCs w:val="24"/>
        </w:rPr>
        <w:t>该采购</w:t>
      </w:r>
      <w:r>
        <w:rPr>
          <w:rFonts w:ascii="方正仿宋_GBK" w:hAnsi="宋体" w:eastAsia="方正仿宋_GBK" w:cs="Times New Roman"/>
          <w:color w:val="auto"/>
          <w:sz w:val="24"/>
          <w:szCs w:val="24"/>
        </w:rPr>
        <w:t>项目的</w:t>
      </w:r>
      <w:r>
        <w:rPr>
          <w:rFonts w:hint="eastAsia" w:ascii="方正仿宋_GBK" w:hAnsi="宋体" w:eastAsia="方正仿宋_GBK" w:cs="Times New Roman"/>
          <w:color w:val="auto"/>
          <w:sz w:val="24"/>
          <w:szCs w:val="24"/>
        </w:rPr>
        <w:t>其他</w:t>
      </w:r>
      <w:r>
        <w:rPr>
          <w:rFonts w:ascii="方正仿宋_GBK" w:hAnsi="宋体" w:eastAsia="方正仿宋_GBK" w:cs="Times New Roman"/>
          <w:color w:val="auto"/>
          <w:sz w:val="24"/>
          <w:szCs w:val="24"/>
        </w:rPr>
        <w:t>采购活动</w:t>
      </w:r>
      <w:r>
        <w:rPr>
          <w:rFonts w:hint="eastAsia" w:ascii="方正仿宋_GBK" w:hAnsi="宋体" w:eastAsia="方正仿宋_GBK" w:cs="Times New Roman"/>
          <w:color w:val="auto"/>
          <w:sz w:val="24"/>
          <w:szCs w:val="24"/>
        </w:rPr>
        <w:t>。</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（三）同一合同项（分包）下为单一品目的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采购中， 同一品牌同一型号产品有多家供应商参加比选，只能按照一家供应商计算。</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（四）同一合同项（分包）下的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，制造商参与比选的，不得再委托代理商参与比选。</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（五）本项目在响应文件提交截止时间前发布的比选文件及补遗文件（如果有）一律在</w:t>
      </w:r>
      <w:r>
        <w:rPr>
          <w:rFonts w:hint="eastAsia" w:ascii="方正仿宋_GBK" w:hAnsi="宋体" w:eastAsia="方正仿宋_GBK" w:cs="Times New Roman"/>
          <w:color w:val="auto"/>
          <w:sz w:val="24"/>
          <w:szCs w:val="24"/>
          <w:lang w:eastAsia="zh-CN"/>
        </w:rPr>
        <w:t>重庆医科大学附属永川医院</w:t>
      </w:r>
      <w:r>
        <w:rPr>
          <w:rFonts w:hint="eastAsia" w:ascii="方正仿宋_GBK" w:hAnsi="宋体" w:eastAsia="方正仿宋_GBK" w:cs="Times New Roman"/>
          <w:color w:val="auto"/>
          <w:sz w:val="24"/>
          <w:szCs w:val="24"/>
        </w:rPr>
        <w:t>官网上发布，请各供应商注意下载；无论供应商下载或与否，均视同供应商已知晓本项目澄清文件（如果有）的内容。</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w:t>
      </w:r>
      <w:r>
        <w:rPr>
          <w:rFonts w:hint="eastAsia" w:ascii="方正仿宋_GBK" w:hAnsi="宋体" w:eastAsia="方正仿宋_GBK"/>
          <w:color w:val="auto"/>
          <w:sz w:val="24"/>
          <w:szCs w:val="24"/>
        </w:rPr>
        <w:t>未</w:t>
      </w:r>
      <w:r>
        <w:rPr>
          <w:rFonts w:hint="eastAsia" w:ascii="方正仿宋_GBK" w:hAnsi="宋体" w:eastAsia="方正仿宋_GBK"/>
          <w:color w:val="auto"/>
          <w:sz w:val="24"/>
          <w:szCs w:val="24"/>
          <w:lang w:val="en-US" w:eastAsia="zh-CN"/>
        </w:rPr>
        <w:t>按时</w:t>
      </w:r>
      <w:r>
        <w:rPr>
          <w:rFonts w:hint="eastAsia" w:ascii="方正仿宋_GBK" w:hAnsi="宋体" w:eastAsia="方正仿宋_GBK"/>
          <w:color w:val="auto"/>
          <w:sz w:val="24"/>
          <w:szCs w:val="24"/>
        </w:rPr>
        <w:t>报名的，其响应文件恕不接收，</w:t>
      </w:r>
      <w:r>
        <w:rPr>
          <w:rFonts w:hint="eastAsia" w:ascii="方正仿宋_GBK" w:hAnsi="宋体" w:eastAsia="方正仿宋_GBK" w:cs="Times New Roman"/>
          <w:color w:val="auto"/>
          <w:sz w:val="24"/>
          <w:szCs w:val="24"/>
        </w:rPr>
        <w:t>超过响应文件截止时间递交的响应文件，恕不接收。</w:t>
      </w:r>
    </w:p>
    <w:p>
      <w:pPr>
        <w:spacing w:line="38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（七）比选费用：无论比选结果如何，供应商参与本项目比选的所有费用均应由供应商自行承担。</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（八）本项目不接受联合体参与比选或不接受合同分包、转包。</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3"/>
        <w:spacing w:line="240" w:lineRule="auto"/>
        <w:rPr>
          <w:rFonts w:hint="eastAsia" w:ascii="微软雅黑" w:hAnsi="微软雅黑" w:eastAsia="微软雅黑" w:cs="微软雅黑"/>
          <w:color w:val="auto"/>
          <w:sz w:val="24"/>
          <w:szCs w:val="24"/>
        </w:rPr>
      </w:pPr>
      <w:bookmarkStart w:id="26" w:name="_Toc31390"/>
      <w:bookmarkStart w:id="27" w:name="_Toc9130"/>
      <w:r>
        <w:rPr>
          <w:rFonts w:hint="eastAsia" w:ascii="微软雅黑" w:hAnsi="微软雅黑" w:eastAsia="微软雅黑" w:cs="微软雅黑"/>
          <w:color w:val="auto"/>
          <w:sz w:val="24"/>
          <w:szCs w:val="24"/>
          <w:lang w:eastAsia="zh-CN"/>
        </w:rPr>
        <w:t>八</w:t>
      </w:r>
      <w:r>
        <w:rPr>
          <w:rFonts w:hint="eastAsia" w:ascii="微软雅黑" w:hAnsi="微软雅黑" w:eastAsia="微软雅黑" w:cs="微软雅黑"/>
          <w:color w:val="auto"/>
          <w:sz w:val="24"/>
          <w:szCs w:val="24"/>
        </w:rPr>
        <w:t>、联系方式</w:t>
      </w:r>
      <w:bookmarkEnd w:id="26"/>
      <w:bookmarkEnd w:id="27"/>
    </w:p>
    <w:bookmarkEnd w:id="16"/>
    <w:bookmarkEnd w:id="17"/>
    <w:p>
      <w:pPr>
        <w:ind w:firstLine="480" w:firstLineChars="200"/>
        <w:jc w:val="left"/>
        <w:rPr>
          <w:rFonts w:ascii="方正仿宋_GBK" w:hAnsi="宋体" w:eastAsia="方正仿宋_GBK" w:cs="Times New Roman"/>
          <w:color w:val="auto"/>
          <w:sz w:val="24"/>
          <w:szCs w:val="24"/>
        </w:rPr>
      </w:pPr>
      <w:bookmarkStart w:id="28" w:name="_Toc31093"/>
      <w:r>
        <w:rPr>
          <w:rFonts w:hint="eastAsia" w:ascii="方正仿宋_GBK" w:hAnsi="宋体" w:eastAsia="方正仿宋_GBK" w:cs="Times New Roman"/>
          <w:color w:val="auto"/>
          <w:sz w:val="24"/>
          <w:szCs w:val="24"/>
        </w:rPr>
        <w:t>采购人：重庆医科大学附属永川医院</w:t>
      </w:r>
    </w:p>
    <w:p>
      <w:pPr>
        <w:ind w:firstLine="480" w:firstLineChars="200"/>
        <w:jc w:val="left"/>
        <w:rPr>
          <w:rFonts w:hint="eastAsia" w:ascii="方正仿宋_GBK" w:hAnsi="宋体" w:eastAsia="方正仿宋_GBK" w:cs="Times New Roman"/>
          <w:color w:val="auto"/>
          <w:sz w:val="24"/>
          <w:szCs w:val="24"/>
          <w:lang w:eastAsia="zh-CN"/>
        </w:rPr>
      </w:pPr>
      <w:r>
        <w:rPr>
          <w:rFonts w:hint="eastAsia" w:ascii="方正仿宋_GBK" w:hAnsi="宋体" w:eastAsia="方正仿宋_GBK" w:cs="Times New Roman"/>
          <w:color w:val="auto"/>
          <w:sz w:val="24"/>
          <w:szCs w:val="24"/>
        </w:rPr>
        <w:t>联系人：</w:t>
      </w:r>
      <w:r>
        <w:rPr>
          <w:rFonts w:hint="eastAsia" w:ascii="方正仿宋_GBK" w:hAnsi="宋体" w:eastAsia="方正仿宋_GBK" w:cs="Times New Roman"/>
          <w:color w:val="auto"/>
          <w:sz w:val="24"/>
          <w:szCs w:val="24"/>
          <w:lang w:val="en-US" w:eastAsia="zh-CN"/>
        </w:rPr>
        <w:t>潘</w:t>
      </w:r>
      <w:r>
        <w:rPr>
          <w:rFonts w:hint="eastAsia" w:ascii="方正仿宋_GBK" w:hAnsi="宋体" w:eastAsia="方正仿宋_GBK" w:cs="Times New Roman"/>
          <w:color w:val="auto"/>
          <w:sz w:val="24"/>
          <w:szCs w:val="24"/>
        </w:rPr>
        <w:t>老师</w:t>
      </w:r>
      <w:r>
        <w:rPr>
          <w:rFonts w:hint="eastAsia" w:ascii="方正仿宋_GBK" w:hAnsi="宋体" w:eastAsia="方正仿宋_GBK" w:cs="Times New Roman"/>
          <w:color w:val="auto"/>
          <w:sz w:val="24"/>
          <w:szCs w:val="24"/>
          <w:lang w:eastAsia="zh-CN"/>
        </w:rPr>
        <w:t>、李老师</w:t>
      </w:r>
    </w:p>
    <w:p>
      <w:pPr>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电  话：（023）85385105  </w:t>
      </w:r>
    </w:p>
    <w:p>
      <w:pPr>
        <w:ind w:firstLine="480" w:firstLineChars="200"/>
        <w:jc w:val="left"/>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地  址： 重庆市永川区萱花路439号</w:t>
      </w:r>
    </w:p>
    <w:p>
      <w:pPr>
        <w:ind w:firstLine="720" w:firstLineChars="200"/>
        <w:jc w:val="left"/>
        <w:rPr>
          <w:rFonts w:hint="eastAsia" w:ascii="方正小标宋_GBK" w:hAnsi="宋体" w:eastAsia="方正小标宋_GBK" w:cs="Times New Roman"/>
          <w:color w:val="auto"/>
          <w:sz w:val="36"/>
          <w:szCs w:val="30"/>
        </w:rPr>
      </w:pPr>
    </w:p>
    <w:p>
      <w:pPr>
        <w:ind w:firstLine="720" w:firstLineChars="200"/>
        <w:jc w:val="left"/>
        <w:rPr>
          <w:rFonts w:hint="eastAsia" w:ascii="方正小标宋_GBK" w:hAnsi="宋体" w:eastAsia="方正小标宋_GBK" w:cs="Times New Roman"/>
          <w:color w:val="auto"/>
          <w:sz w:val="36"/>
          <w:szCs w:val="30"/>
        </w:rPr>
      </w:pPr>
    </w:p>
    <w:bookmarkEnd w:id="28"/>
    <w:p>
      <w:pPr>
        <w:rPr>
          <w:rFonts w:hint="eastAsia"/>
          <w:color w:val="auto"/>
        </w:rPr>
      </w:pPr>
    </w:p>
    <w:p>
      <w:pPr>
        <w:rPr>
          <w:rFonts w:hint="eastAsia"/>
          <w:color w:val="auto"/>
        </w:rPr>
      </w:pPr>
    </w:p>
    <w:p>
      <w:pPr>
        <w:pStyle w:val="2"/>
        <w:bidi w:val="0"/>
        <w:jc w:val="center"/>
        <w:rPr>
          <w:rFonts w:hint="eastAsia" w:ascii="微软雅黑" w:hAnsi="微软雅黑" w:eastAsia="微软雅黑" w:cs="微软雅黑"/>
          <w:b/>
          <w:bCs/>
          <w:color w:val="auto"/>
          <w:sz w:val="36"/>
          <w:szCs w:val="36"/>
        </w:rPr>
        <w:sectPr>
          <w:pgSz w:w="11907" w:h="16840"/>
          <w:pgMar w:top="1134" w:right="1191" w:bottom="1134" w:left="1304" w:header="964" w:footer="992" w:gutter="0"/>
          <w:pgNumType w:fmt="decimal"/>
          <w:cols w:space="720" w:num="1"/>
          <w:docGrid w:linePitch="312" w:charSpace="0"/>
        </w:sectPr>
      </w:pPr>
      <w:bookmarkStart w:id="29" w:name="_Toc22321"/>
    </w:p>
    <w:p>
      <w:pPr>
        <w:pStyle w:val="2"/>
        <w:bidi w:val="0"/>
        <w:jc w:val="center"/>
        <w:rPr>
          <w:rFonts w:hint="eastAsia"/>
          <w:b/>
          <w:color w:val="auto"/>
        </w:rPr>
      </w:pPr>
      <w:r>
        <w:rPr>
          <w:rFonts w:hint="eastAsia" w:ascii="微软雅黑" w:hAnsi="微软雅黑" w:eastAsia="微软雅黑" w:cs="微软雅黑"/>
          <w:b/>
          <w:bCs/>
          <w:color w:val="auto"/>
          <w:sz w:val="36"/>
          <w:szCs w:val="36"/>
        </w:rPr>
        <w:t>第二篇 供应商须知</w:t>
      </w:r>
      <w:bookmarkEnd w:id="29"/>
    </w:p>
    <w:p>
      <w:pPr>
        <w:pStyle w:val="3"/>
        <w:bidi w:val="0"/>
        <w:rPr>
          <w:rFonts w:hint="eastAsia" w:ascii="微软雅黑" w:hAnsi="微软雅黑" w:eastAsia="微软雅黑" w:cs="微软雅黑"/>
          <w:color w:val="auto"/>
          <w:sz w:val="24"/>
          <w:szCs w:val="24"/>
        </w:rPr>
      </w:pPr>
      <w:bookmarkStart w:id="30" w:name="_Toc11386"/>
      <w:r>
        <w:rPr>
          <w:rFonts w:hint="eastAsia" w:ascii="微软雅黑" w:hAnsi="微软雅黑" w:eastAsia="微软雅黑" w:cs="微软雅黑"/>
          <w:color w:val="auto"/>
          <w:sz w:val="24"/>
          <w:szCs w:val="24"/>
        </w:rPr>
        <w:t>一、比选费用</w:t>
      </w:r>
      <w:bookmarkEnd w:id="30"/>
    </w:p>
    <w:p>
      <w:pPr>
        <w:spacing w:line="400" w:lineRule="exac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参与比选的供应商应承担其编制响应文件与递交响应文件所涉及的一切费用，不论比选结果如何，</w:t>
      </w:r>
      <w:r>
        <w:rPr>
          <w:rFonts w:hint="eastAsia" w:ascii="方正仿宋_GBK" w:hAnsi="宋体" w:eastAsia="方正仿宋_GBK"/>
          <w:color w:val="auto"/>
          <w:sz w:val="24"/>
          <w:szCs w:val="24"/>
        </w:rPr>
        <w:t>医院在任何情况下无义务也无责任承担这些费用。</w:t>
      </w:r>
    </w:p>
    <w:p>
      <w:pPr>
        <w:pStyle w:val="3"/>
        <w:spacing w:line="240" w:lineRule="auto"/>
        <w:rPr>
          <w:color w:val="auto"/>
        </w:rPr>
      </w:pPr>
      <w:bookmarkStart w:id="31" w:name="_Toc8430"/>
      <w:r>
        <w:rPr>
          <w:rFonts w:hint="eastAsia" w:ascii="微软雅黑" w:hAnsi="微软雅黑" w:eastAsia="微软雅黑" w:cs="微软雅黑"/>
          <w:color w:val="auto"/>
          <w:sz w:val="24"/>
          <w:szCs w:val="24"/>
        </w:rPr>
        <w:t>二、比选文件</w:t>
      </w:r>
      <w:bookmarkEnd w:id="31"/>
      <w:r>
        <w:rPr>
          <w:color w:val="auto"/>
        </w:rPr>
        <w:tab/>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w:t>
      </w:r>
      <w:r>
        <w:rPr>
          <w:rFonts w:hint="eastAsia" w:ascii="方正仿宋_GBK" w:hAnsi="宋体" w:eastAsia="方正仿宋_GBK"/>
          <w:color w:val="auto"/>
          <w:sz w:val="24"/>
          <w:szCs w:val="24"/>
        </w:rPr>
        <w:t>医院</w:t>
      </w:r>
      <w:r>
        <w:rPr>
          <w:rFonts w:hint="eastAsia" w:ascii="方正仿宋_GBK" w:hAnsi="宋体" w:eastAsia="方正仿宋_GBK" w:cs="Times New Roman"/>
          <w:color w:val="auto"/>
          <w:sz w:val="24"/>
          <w:szCs w:val="24"/>
        </w:rPr>
        <w:t>所作的一切有效的修改及补充，都是比选文件不可分割的部分。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（三）比选文件的解释</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（四）本比选文件中，评审小组根据与供应商比选情况可能实质性变动的内容为比选文件第三、四、五篇全部内容。</w:t>
      </w:r>
    </w:p>
    <w:p>
      <w:pPr>
        <w:pStyle w:val="3"/>
        <w:spacing w:line="240" w:lineRule="auto"/>
        <w:rPr>
          <w:rFonts w:hint="eastAsia" w:ascii="微软雅黑" w:hAnsi="微软雅黑" w:eastAsia="微软雅黑" w:cs="微软雅黑"/>
          <w:color w:val="auto"/>
          <w:sz w:val="24"/>
          <w:szCs w:val="24"/>
        </w:rPr>
      </w:pPr>
      <w:bookmarkStart w:id="32" w:name="_Toc23254"/>
      <w:r>
        <w:rPr>
          <w:rFonts w:hint="eastAsia" w:ascii="微软雅黑" w:hAnsi="微软雅黑" w:eastAsia="微软雅黑" w:cs="微软雅黑"/>
          <w:color w:val="auto"/>
          <w:sz w:val="24"/>
          <w:szCs w:val="24"/>
        </w:rPr>
        <w:t>三、比选要求</w:t>
      </w:r>
      <w:bookmarkEnd w:id="32"/>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（一）响应文件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1、响应文件组成</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w:t>
      </w:r>
      <w:r>
        <w:rPr>
          <w:rFonts w:hint="eastAsia" w:ascii="方正仿宋_GBK" w:hAnsi="宋体" w:eastAsia="方正仿宋_GBK"/>
          <w:color w:val="auto"/>
          <w:sz w:val="24"/>
          <w:szCs w:val="24"/>
        </w:rPr>
        <w:t>本项目不接受联合体参与及合同分包、转包。</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3、比选有效期：响应文件及有关承诺文件有效期为比选开始时间起90天。</w:t>
      </w:r>
    </w:p>
    <w:p>
      <w:pPr>
        <w:spacing w:line="400" w:lineRule="exact"/>
        <w:ind w:firstLine="482" w:firstLineChars="200"/>
        <w:rPr>
          <w:rFonts w:hint="eastAsia" w:ascii="方正仿宋_GBK" w:hAnsi="宋体" w:eastAsia="方正仿宋_GBK" w:cs="Times New Roman"/>
          <w:b/>
          <w:bCs/>
          <w:color w:val="auto"/>
          <w:sz w:val="24"/>
          <w:szCs w:val="24"/>
        </w:rPr>
      </w:pPr>
      <w:r>
        <w:rPr>
          <w:rFonts w:hint="eastAsia" w:ascii="方正仿宋_GBK" w:hAnsi="宋体" w:eastAsia="方正仿宋_GBK" w:cs="Times New Roman"/>
          <w:b/>
          <w:bCs/>
          <w:color w:val="auto"/>
          <w:sz w:val="24"/>
          <w:szCs w:val="24"/>
        </w:rPr>
        <w:t>（二）报价要求</w:t>
      </w:r>
    </w:p>
    <w:p>
      <w:pPr>
        <w:spacing w:line="400" w:lineRule="exact"/>
        <w:ind w:firstLine="480" w:firstLineChars="200"/>
        <w:rPr>
          <w:rFonts w:hint="eastAsia" w:ascii="仿宋" w:hAnsi="仿宋" w:eastAsia="仿宋" w:cs="MS Shell Dlg"/>
          <w:sz w:val="28"/>
          <w:szCs w:val="28"/>
        </w:rPr>
      </w:pPr>
      <w:r>
        <w:rPr>
          <w:rFonts w:hint="eastAsia" w:ascii="方正仿宋_GBK" w:hAnsi="宋体" w:eastAsia="方正仿宋_GBK" w:cs="Times New Roman"/>
          <w:color w:val="FF0000"/>
          <w:sz w:val="24"/>
          <w:szCs w:val="24"/>
        </w:rPr>
        <w:t>收购方按照报价表进行报价（见</w:t>
      </w:r>
      <w:r>
        <w:rPr>
          <w:rFonts w:hint="eastAsia" w:ascii="方正仿宋_GBK" w:hAnsi="宋体" w:eastAsia="方正仿宋_GBK" w:cs="Times New Roman"/>
          <w:color w:val="FF0000"/>
          <w:sz w:val="24"/>
          <w:szCs w:val="24"/>
          <w:lang w:eastAsia="zh-CN"/>
        </w:rPr>
        <w:t>第六章</w:t>
      </w:r>
      <w:r>
        <w:rPr>
          <w:rFonts w:hint="eastAsia" w:ascii="方正仿宋_GBK" w:hAnsi="宋体" w:eastAsia="方正仿宋_GBK" w:cs="Times New Roman"/>
          <w:color w:val="FF0000"/>
          <w:sz w:val="24"/>
          <w:szCs w:val="24"/>
        </w:rPr>
        <w:t>）。</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1.若供应商所递交的响应文件或最后报价中的价格出现大写金额和小写金额不一致的错误，以大写金额修正为准。</w:t>
      </w:r>
    </w:p>
    <w:p>
      <w:pPr>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2.评审小组按上述修正错误的原则及方法修正供应商的报价，供应商同意并签字确认后，修正后的报价对供应商具有约束作用。如果供应商不接受修正后的价格，将失去成为成交供应商的资格。</w:t>
      </w:r>
    </w:p>
    <w:p>
      <w:pPr>
        <w:spacing w:line="400" w:lineRule="exact"/>
        <w:ind w:firstLine="480" w:firstLineChars="200"/>
        <w:rPr>
          <w:rFonts w:hint="default"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（四）提交响应文件的份数和签署</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1.响应文件一式</w:t>
      </w:r>
      <w:r>
        <w:rPr>
          <w:rFonts w:hint="eastAsia" w:ascii="方正仿宋_GBK" w:hAnsi="宋体" w:eastAsia="方正仿宋_GBK" w:cs="Times New Roman"/>
          <w:color w:val="auto"/>
          <w:sz w:val="24"/>
          <w:szCs w:val="24"/>
          <w:lang w:eastAsia="zh-CN"/>
        </w:rPr>
        <w:t>四</w:t>
      </w:r>
      <w:r>
        <w:rPr>
          <w:rFonts w:hint="eastAsia" w:ascii="方正仿宋_GBK" w:hAnsi="宋体" w:eastAsia="方正仿宋_GBK" w:cs="Times New Roman"/>
          <w:color w:val="auto"/>
          <w:sz w:val="24"/>
          <w:szCs w:val="24"/>
        </w:rPr>
        <w:t>份，其中正本一份，副本三份；副本可为正本的复印件，应与正本一致，如出现不一致情况以正本为准。</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2.</w:t>
      </w:r>
      <w:r>
        <w:rPr>
          <w:rFonts w:hint="eastAsia" w:ascii="方正仿宋_GBK" w:hAnsi="宋体" w:eastAsia="方正仿宋_GBK" w:cs="Times New Roman"/>
          <w:color w:val="auto"/>
          <w:sz w:val="24"/>
          <w:szCs w:val="20"/>
        </w:rPr>
        <w:t>在响应文件正本中，比选文件第六篇响应文件格式中规定签字、盖章的地方必须按其规定签字、盖章。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ascii="方正仿宋_GBK" w:hAnsi="宋体" w:eastAsia="方正仿宋_GBK" w:cs="Times New Roman"/>
          <w:strike/>
          <w:color w:val="auto"/>
          <w:sz w:val="24"/>
          <w:szCs w:val="24"/>
        </w:rPr>
      </w:pPr>
      <w:r>
        <w:rPr>
          <w:rFonts w:hint="eastAsia" w:ascii="方正仿宋_GBK" w:hAnsi="宋体" w:eastAsia="方正仿宋_GBK" w:cs="Times New Roman"/>
          <w:color w:val="auto"/>
          <w:sz w:val="24"/>
          <w:szCs w:val="24"/>
        </w:rPr>
        <w:t>4.电报、电话、传真形式的响应文件概不接受。</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（五）响应文件的递交</w:t>
      </w:r>
    </w:p>
    <w:p>
      <w:pPr>
        <w:snapToGrid w:val="0"/>
        <w:spacing w:line="400" w:lineRule="exact"/>
        <w:ind w:firstLine="480" w:firstLineChars="200"/>
        <w:rPr>
          <w:rFonts w:ascii="方正仿宋_GBK" w:hAnsi="宋体" w:eastAsia="方正仿宋_GBK" w:cs="Times New Roman"/>
          <w:color w:val="auto"/>
          <w:sz w:val="24"/>
          <w:szCs w:val="24"/>
        </w:rPr>
      </w:pPr>
      <w:bookmarkStart w:id="33" w:name="OLE_LINK3"/>
      <w:bookmarkStart w:id="34" w:name="OLE_LINK9"/>
      <w:bookmarkStart w:id="35" w:name="OLE_LINK8"/>
      <w:r>
        <w:rPr>
          <w:rFonts w:hint="eastAsia" w:ascii="方正仿宋_GBK" w:hAnsi="宋体" w:eastAsia="方正仿宋_GBK" w:cs="Times New Roman"/>
          <w:color w:val="auto"/>
          <w:sz w:val="24"/>
          <w:szCs w:val="24"/>
        </w:rPr>
        <w:t>1.响应文件的密封与标记</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2.响应文件投递截止时间：参阅比选邀请书。</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3.如果未按上述规定进行密封和标记，医院对响应文件误投、丢失或提前拆封不负责任。</w:t>
      </w:r>
    </w:p>
    <w:p>
      <w:pPr>
        <w:spacing w:line="4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（六）响应文件语言：简体中文</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（七）供应商参与人员</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各个供应商可派1-2名代表参与比选，至少1人应为法定代表人或具有法定代表人授权委托书的授权代表。</w:t>
      </w:r>
      <w:r>
        <w:rPr>
          <w:rFonts w:hint="eastAsia" w:ascii="仿宋" w:hAnsi="仿宋" w:eastAsia="仿宋" w:cs="仿宋"/>
          <w:b/>
          <w:bCs/>
          <w:color w:val="auto"/>
          <w:sz w:val="24"/>
        </w:rPr>
        <w:t>法定代表人或授权代表应随身携带本人身份证原件。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（八）无效比选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供应商发生以下条款情况之一者，视为无效比选，</w:t>
      </w:r>
      <w:r>
        <w:rPr>
          <w:rFonts w:hint="eastAsia" w:ascii="方正仿宋_GBK" w:hAnsi="宋体" w:eastAsia="方正仿宋_GBK"/>
          <w:color w:val="auto"/>
          <w:sz w:val="24"/>
          <w:szCs w:val="24"/>
        </w:rPr>
        <w:t>应为无效响应</w:t>
      </w:r>
      <w:r>
        <w:rPr>
          <w:rFonts w:hint="eastAsia" w:ascii="方正仿宋_GBK" w:hAnsi="宋体" w:eastAsia="方正仿宋_GBK" w:cs="Times New Roman"/>
          <w:color w:val="auto"/>
          <w:sz w:val="24"/>
          <w:szCs w:val="24"/>
        </w:rPr>
        <w:t>：</w:t>
      </w:r>
    </w:p>
    <w:bookmarkEnd w:id="33"/>
    <w:bookmarkEnd w:id="34"/>
    <w:bookmarkEnd w:id="35"/>
    <w:p>
      <w:pPr>
        <w:snapToGrid w:val="0"/>
        <w:spacing w:line="400" w:lineRule="exact"/>
        <w:ind w:firstLine="480" w:firstLineChars="200"/>
        <w:rPr>
          <w:rFonts w:hint="eastAsia" w:ascii="方正仿宋_GBK" w:hAnsi="宋体" w:eastAsia="方正仿宋_GBK" w:cs="Times New Roman"/>
          <w:color w:val="auto"/>
          <w:sz w:val="24"/>
          <w:szCs w:val="24"/>
        </w:rPr>
      </w:pPr>
      <w:bookmarkStart w:id="36" w:name="_Toc19143"/>
      <w:bookmarkStart w:id="37" w:name="_Toc102227319"/>
      <w:bookmarkStart w:id="38" w:name="_Toc403569780"/>
      <w:bookmarkStart w:id="39" w:name="_Toc18122"/>
      <w:bookmarkStart w:id="40" w:name="_Toc179714298"/>
      <w:bookmarkStart w:id="41" w:name="_Toc342913393"/>
      <w:r>
        <w:rPr>
          <w:rFonts w:hint="eastAsia" w:ascii="方正仿宋_GBK" w:hAnsi="宋体" w:eastAsia="方正仿宋_GBK" w:cs="Times New Roman"/>
          <w:color w:val="auto"/>
          <w:sz w:val="24"/>
          <w:szCs w:val="24"/>
        </w:rPr>
        <w:t>供应商发生以下条款情况之一者，视为无效比选：</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供应商不符合规定的资格条件的；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供应商的法定代表人（或其授权代表）或自然人未参加比选的；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3.</w:t>
      </w:r>
      <w:r>
        <w:rPr>
          <w:rFonts w:hint="eastAsia" w:ascii="方正仿宋_GBK" w:hAnsi="宋体" w:eastAsia="方正仿宋_GBK" w:cs="Times New Roman"/>
          <w:color w:val="auto"/>
          <w:sz w:val="24"/>
          <w:szCs w:val="24"/>
        </w:rPr>
        <w:t>供应商所提交的响应文件未按比选文件要求签署或盖章的；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4.</w:t>
      </w:r>
      <w:r>
        <w:rPr>
          <w:rFonts w:hint="eastAsia" w:ascii="方正仿宋_GBK" w:hAnsi="宋体" w:eastAsia="方正仿宋_GBK" w:cs="Times New Roman"/>
          <w:color w:val="auto"/>
          <w:sz w:val="24"/>
          <w:szCs w:val="24"/>
        </w:rPr>
        <w:t>响应文件含有使用科室不能接受的附加条件的；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5.</w:t>
      </w:r>
      <w:r>
        <w:rPr>
          <w:rFonts w:hint="eastAsia" w:ascii="方正仿宋_GBK" w:hAnsi="宋体" w:eastAsia="方正仿宋_GBK" w:cs="Times New Roman"/>
          <w:color w:val="auto"/>
          <w:sz w:val="24"/>
          <w:szCs w:val="24"/>
        </w:rPr>
        <w:t>单位负责人为同一人或者存在直接控股、管理关系的不同供应商，参加同一合同项（包）比选的；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6.</w:t>
      </w:r>
      <w:r>
        <w:rPr>
          <w:rFonts w:hint="eastAsia" w:ascii="方正仿宋_GBK" w:hAnsi="宋体" w:eastAsia="方正仿宋_GBK" w:cs="Times New Roman"/>
          <w:color w:val="auto"/>
          <w:sz w:val="24"/>
          <w:szCs w:val="24"/>
        </w:rPr>
        <w:t>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7.</w:t>
      </w:r>
      <w:r>
        <w:rPr>
          <w:rFonts w:hint="eastAsia" w:ascii="方正仿宋_GBK" w:hAnsi="宋体" w:eastAsia="方正仿宋_GBK" w:cs="Times New Roman"/>
          <w:color w:val="auto"/>
          <w:sz w:val="24"/>
          <w:szCs w:val="24"/>
        </w:rPr>
        <w:t>同一合同项（包）下的货物，制造商参与比选，再委托代理商参与比选的；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8.</w:t>
      </w:r>
      <w:r>
        <w:rPr>
          <w:rFonts w:hint="eastAsia" w:ascii="方正仿宋_GBK" w:hAnsi="宋体" w:eastAsia="方正仿宋_GBK" w:cs="Times New Roman"/>
          <w:color w:val="auto"/>
          <w:sz w:val="24"/>
          <w:szCs w:val="24"/>
        </w:rPr>
        <w:t>供应商以联合体形式参与比选的；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9.</w:t>
      </w:r>
      <w:r>
        <w:rPr>
          <w:rFonts w:hint="eastAsia" w:ascii="方正仿宋_GBK" w:hAnsi="宋体" w:eastAsia="方正仿宋_GBK" w:cs="Times New Roman"/>
          <w:color w:val="auto"/>
          <w:sz w:val="24"/>
          <w:szCs w:val="24"/>
        </w:rPr>
        <w:t>供应商进行合同分包的；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10.</w:t>
      </w:r>
      <w:r>
        <w:rPr>
          <w:rFonts w:hint="eastAsia" w:ascii="方正仿宋_GBK" w:hAnsi="宋体" w:eastAsia="方正仿宋_GBK" w:cs="Times New Roman"/>
          <w:color w:val="auto"/>
          <w:sz w:val="24"/>
          <w:szCs w:val="24"/>
        </w:rPr>
        <w:t>供应商响应文件内容有与国家现行法律法规相违背的内容，或附有医院无法接受条件的。</w:t>
      </w:r>
    </w:p>
    <w:p>
      <w:pPr>
        <w:snapToGrid w:val="0"/>
        <w:spacing w:line="400" w:lineRule="exact"/>
        <w:ind w:firstLine="480" w:firstLineChars="200"/>
        <w:rPr>
          <w:rFonts w:hint="eastAsia" w:ascii="方正仿宋_GBK" w:hAnsi="宋体" w:eastAsia="方正仿宋_GBK" w:cs="Times New Roman"/>
          <w:color w:val="auto"/>
          <w:sz w:val="24"/>
          <w:szCs w:val="24"/>
          <w:lang w:val="en-US" w:eastAsia="zh-CN"/>
        </w:rPr>
      </w:pPr>
      <w:r>
        <w:rPr>
          <w:rFonts w:hint="eastAsia" w:ascii="方正仿宋_GBK" w:hAnsi="宋体" w:eastAsia="方正仿宋_GBK" w:cs="Times New Roman"/>
          <w:color w:val="auto"/>
          <w:sz w:val="24"/>
          <w:szCs w:val="24"/>
          <w:lang w:val="en-US" w:eastAsia="zh-CN"/>
        </w:rPr>
        <w:t>11.</w:t>
      </w:r>
      <w:r>
        <w:rPr>
          <w:rFonts w:hint="eastAsia" w:ascii="方正仿宋_GBK" w:hAnsi="宋体" w:eastAsia="方正仿宋_GBK" w:cs="Times New Roman"/>
          <w:color w:val="auto"/>
          <w:sz w:val="24"/>
          <w:szCs w:val="24"/>
        </w:rPr>
        <w:t>供应商发生以下条款情况之一者，失去成交供应商资格，但属于“符合要求的供应商”</w:t>
      </w:r>
      <w:r>
        <w:rPr>
          <w:rFonts w:hint="eastAsia" w:ascii="方正仿宋_GBK" w:hAnsi="宋体" w:eastAsia="方正仿宋_GBK" w:cs="Times New Roman"/>
          <w:color w:val="auto"/>
          <w:sz w:val="24"/>
          <w:szCs w:val="24"/>
          <w:lang w:eastAsia="zh-CN"/>
        </w:rPr>
        <w:t>。</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①</w:t>
      </w:r>
      <w:r>
        <w:rPr>
          <w:rFonts w:hint="eastAsia" w:ascii="方正仿宋_GBK" w:hAnsi="宋体" w:eastAsia="方正仿宋_GBK" w:cs="Times New Roman"/>
          <w:color w:val="auto"/>
          <w:sz w:val="24"/>
          <w:szCs w:val="24"/>
        </w:rPr>
        <w:t>供应商的最后报价超过采购预算或者最高限价的；</w:t>
      </w:r>
    </w:p>
    <w:p>
      <w:pPr>
        <w:snapToGrid w:val="0"/>
        <w:spacing w:line="400" w:lineRule="exact"/>
        <w:ind w:firstLine="480" w:firstLineChars="20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lang w:val="en-US" w:eastAsia="zh-CN"/>
        </w:rPr>
        <w:t>②</w:t>
      </w:r>
      <w:r>
        <w:rPr>
          <w:rFonts w:hint="eastAsia" w:ascii="方正仿宋_GBK" w:hAnsi="宋体" w:eastAsia="方正仿宋_GBK" w:cs="Times New Roman"/>
          <w:color w:val="auto"/>
          <w:sz w:val="24"/>
          <w:szCs w:val="24"/>
        </w:rPr>
        <w:t>供应商提供的产品，其“技术参数”不满足“本文件第</w:t>
      </w:r>
      <w:r>
        <w:rPr>
          <w:rFonts w:hint="eastAsia" w:ascii="方正仿宋_GBK" w:hAnsi="宋体" w:eastAsia="方正仿宋_GBK" w:cs="Times New Roman"/>
          <w:color w:val="auto"/>
          <w:sz w:val="24"/>
          <w:szCs w:val="24"/>
          <w:lang w:eastAsia="zh-CN"/>
        </w:rPr>
        <w:t>三</w:t>
      </w:r>
      <w:r>
        <w:rPr>
          <w:rFonts w:hint="eastAsia" w:ascii="方正仿宋_GBK" w:hAnsi="宋体" w:eastAsia="方正仿宋_GBK" w:cs="Times New Roman"/>
          <w:color w:val="auto"/>
          <w:sz w:val="24"/>
          <w:szCs w:val="24"/>
        </w:rPr>
        <w:t>篇比选内容</w:t>
      </w:r>
      <w:r>
        <w:rPr>
          <w:rFonts w:hint="eastAsia" w:ascii="方正仿宋_GBK" w:hAnsi="宋体" w:eastAsia="方正仿宋_GBK" w:cs="Times New Roman"/>
          <w:color w:val="auto"/>
          <w:sz w:val="24"/>
          <w:szCs w:val="24"/>
          <w:lang w:eastAsia="zh-CN"/>
        </w:rPr>
        <w:t>项目服务要求</w:t>
      </w:r>
      <w:r>
        <w:rPr>
          <w:rFonts w:hint="eastAsia" w:ascii="方正仿宋_GBK" w:hAnsi="宋体" w:eastAsia="方正仿宋_GBK" w:cs="Times New Roman"/>
          <w:color w:val="auto"/>
          <w:sz w:val="24"/>
          <w:szCs w:val="24"/>
        </w:rPr>
        <w:t>”的。</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四、比选程序</w:t>
      </w:r>
      <w:bookmarkEnd w:id="36"/>
      <w:bookmarkEnd w:id="37"/>
      <w:bookmarkEnd w:id="38"/>
      <w:bookmarkEnd w:id="39"/>
      <w:bookmarkEnd w:id="40"/>
      <w:bookmarkEnd w:id="41"/>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（一）比选按比选文件规定的时间和地点进行。供应商须有法定代表人或其授权代表参加并签到。</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1、资格性检查。依据法律法规和竞争性比选文件的规定，评审小组对响应文件中的资格证明、保证金等进行审查，以确定供应商是否具备比选资格。资格性检查资料表如下：</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检查因素</w:t>
            </w:r>
          </w:p>
        </w:tc>
        <w:tc>
          <w:tcPr>
            <w:tcW w:w="4948"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060" w:type="dxa"/>
            <w:vMerge w:val="restart"/>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响应人应符合的基本资格条件</w:t>
            </w: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（1）具有独立承担民事责任的能力</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（2）</w:t>
            </w:r>
            <w:r>
              <w:rPr>
                <w:rFonts w:hint="eastAsia" w:ascii="方正仿宋_GBK" w:hAnsi="宋体" w:eastAsia="方正仿宋_GBK" w:cs="Times New Roman"/>
                <w:color w:val="auto"/>
                <w:szCs w:val="21"/>
              </w:rPr>
              <w:t>具有良好的商业信誉和健全的财务会计制度</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1.供应商提供202</w:t>
            </w:r>
            <w:r>
              <w:rPr>
                <w:rFonts w:hint="eastAsia" w:ascii="方正仿宋_GBK" w:hAnsi="仿宋" w:eastAsia="方正仿宋_GBK" w:cs="Times New Roman"/>
                <w:color w:val="auto"/>
                <w:szCs w:val="21"/>
                <w:lang w:val="en-US" w:eastAsia="zh-CN"/>
              </w:rPr>
              <w:t>1</w:t>
            </w:r>
            <w:r>
              <w:rPr>
                <w:rFonts w:hint="eastAsia" w:ascii="方正仿宋_GBK" w:hAnsi="仿宋" w:eastAsia="方正仿宋_GBK" w:cs="Times New Roman"/>
                <w:color w:val="auto"/>
                <w:szCs w:val="21"/>
              </w:rPr>
              <w:t>或202</w:t>
            </w:r>
            <w:r>
              <w:rPr>
                <w:rFonts w:hint="eastAsia" w:ascii="方正仿宋_GBK" w:hAnsi="仿宋" w:eastAsia="方正仿宋_GBK" w:cs="Times New Roman"/>
                <w:color w:val="auto"/>
                <w:szCs w:val="21"/>
                <w:lang w:val="en-US" w:eastAsia="zh-CN"/>
              </w:rPr>
              <w:t>2</w:t>
            </w:r>
            <w:r>
              <w:rPr>
                <w:rFonts w:hint="eastAsia" w:ascii="方正仿宋_GBK" w:hAnsi="仿宋" w:eastAsia="方正仿宋_GBK" w:cs="Times New Roman"/>
                <w:color w:val="auto"/>
                <w:szCs w:val="21"/>
              </w:rPr>
              <w:t>年度财务状况报告（表）或其基本开户银行出具的资信证明（提供复印件）。</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（3）具有履行合同所必需的设备和专业技术能力</w:t>
            </w:r>
          </w:p>
        </w:tc>
        <w:tc>
          <w:tcPr>
            <w:tcW w:w="4948"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（4）有依法缴纳税收和社会保障金的良好记录</w:t>
            </w:r>
          </w:p>
        </w:tc>
        <w:tc>
          <w:tcPr>
            <w:tcW w:w="4948" w:type="dxa"/>
            <w:vAlign w:val="center"/>
          </w:tcPr>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1.税务登记证（副本）（提供复印件）。</w:t>
            </w:r>
          </w:p>
          <w:p>
            <w:pPr>
              <w:jc w:val="left"/>
              <w:rPr>
                <w:rFonts w:ascii="方正仿宋_GBK" w:hAnsi="仿宋" w:eastAsia="方正仿宋_GBK" w:cs="Times New Roman"/>
                <w:color w:val="auto"/>
                <w:szCs w:val="21"/>
              </w:rPr>
            </w:pPr>
            <w:r>
              <w:rPr>
                <w:rFonts w:hint="eastAsia" w:ascii="方正仿宋_GBK" w:hAnsi="仿宋" w:eastAsia="方正仿宋_GBK" w:cs="Times New Roman"/>
                <w:color w:val="auto"/>
                <w:szCs w:val="21"/>
              </w:rPr>
              <w:t>2.缴纳社会保障金的证明材料（提供复印件）【缴纳社会保障金的证明材料指：社会保险登记证或缴纳社会保险的凭据（专用收据或社会保险缴纳清单）】。</w:t>
            </w:r>
          </w:p>
          <w:p>
            <w:pPr>
              <w:snapToGrid w:val="0"/>
              <w:spacing w:line="400" w:lineRule="exac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lang w:val="zh-CN"/>
              </w:rPr>
            </w:pPr>
          </w:p>
        </w:tc>
        <w:tc>
          <w:tcPr>
            <w:tcW w:w="2825" w:type="dxa"/>
            <w:vAlign w:val="center"/>
          </w:tcPr>
          <w:p>
            <w:pPr>
              <w:snapToGrid w:val="0"/>
              <w:spacing w:line="400" w:lineRule="exac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（5）参加采购活动前三年内，在经营活动中没有重大违法记录（注</w:t>
            </w:r>
            <w:r>
              <w:rPr>
                <w:rFonts w:ascii="Calibri" w:hAnsi="Calibri" w:eastAsia="方正仿宋_GBK" w:cs="Calibri"/>
                <w:color w:val="auto"/>
                <w:szCs w:val="21"/>
              </w:rPr>
              <w:t>①</w:t>
            </w:r>
            <w:r>
              <w:rPr>
                <w:rFonts w:hint="eastAsia" w:ascii="方正仿宋_GBK" w:hAnsi="宋体" w:eastAsia="方正仿宋_GBK" w:cs="Times New Roman"/>
                <w:color w:val="auto"/>
                <w:szCs w:val="21"/>
              </w:rPr>
              <w:t>）</w:t>
            </w:r>
          </w:p>
        </w:tc>
        <w:tc>
          <w:tcPr>
            <w:tcW w:w="4948" w:type="dxa"/>
            <w:vAlign w:val="center"/>
          </w:tcPr>
          <w:p>
            <w:pPr>
              <w:snapToGrid w:val="0"/>
              <w:spacing w:line="400" w:lineRule="exact"/>
              <w:rPr>
                <w:rFonts w:ascii="方正仿宋_GBK" w:hAnsi="仿宋" w:eastAsia="方正仿宋_GBK" w:cs="Times New Roman"/>
                <w:color w:val="auto"/>
                <w:szCs w:val="21"/>
              </w:rPr>
            </w:pPr>
            <w:r>
              <w:rPr>
                <w:rFonts w:hint="eastAsia" w:ascii="仿宋" w:hAnsi="仿宋" w:eastAsia="仿宋" w:cs="仿宋"/>
                <w:color w:val="auto"/>
                <w:szCs w:val="21"/>
              </w:rPr>
              <w:t>1</w:t>
            </w:r>
            <w:r>
              <w:rPr>
                <w:rFonts w:hint="eastAsia" w:ascii="方正仿宋_GBK" w:hAnsi="仿宋" w:eastAsia="方正仿宋_GBK" w:cs="Times New Roman"/>
                <w:color w:val="auto"/>
                <w:szCs w:val="21"/>
              </w:rPr>
              <w:t>.供应商提供书面声明（见格式文件）</w:t>
            </w:r>
          </w:p>
          <w:p>
            <w:pPr>
              <w:snapToGrid w:val="0"/>
              <w:spacing w:line="400" w:lineRule="exact"/>
              <w:rPr>
                <w:rFonts w:ascii="方正仿宋_GBK" w:hAnsi="宋体" w:eastAsia="方正仿宋_GBK" w:cs="Times New Roman"/>
                <w:color w:val="auto"/>
                <w:szCs w:val="21"/>
              </w:rPr>
            </w:pPr>
            <w:r>
              <w:rPr>
                <w:rFonts w:hint="eastAsia" w:ascii="仿宋" w:hAnsi="仿宋" w:eastAsia="仿宋" w:cs="仿宋"/>
                <w:color w:val="auto"/>
                <w:szCs w:val="21"/>
              </w:rPr>
              <w:t>2.</w:t>
            </w:r>
            <w:r>
              <w:rPr>
                <w:rFonts w:hint="eastAsia" w:ascii="方正仿宋_GBK" w:hAnsi="仿宋" w:eastAsia="方正仿宋_GBK" w:cs="Times New Roman"/>
                <w:b/>
                <w:color w:val="auto"/>
                <w:szCs w:val="21"/>
              </w:rPr>
              <w:t>供应商提供 “信用中国”网站(www.creditchina.gov.cn)、"中国政府采购网"(www.ccgp.gov.cn)等渠道查询供应商信用记录（注</w:t>
            </w:r>
            <w:r>
              <w:rPr>
                <w:rFonts w:ascii="Calibri" w:hAnsi="Calibri" w:eastAsia="方正仿宋_GBK" w:cs="Calibri"/>
                <w:b/>
                <w:color w:val="auto"/>
                <w:szCs w:val="21"/>
              </w:rPr>
              <w:t>②</w:t>
            </w:r>
            <w:r>
              <w:rPr>
                <w:rFonts w:hint="eastAsia" w:ascii="方正仿宋_GBK" w:hAnsi="仿宋" w:eastAsia="方正仿宋_GBK" w:cs="Times New Roman"/>
                <w:b/>
                <w:color w:val="auto"/>
                <w:szCs w:val="21"/>
              </w:rPr>
              <w:t>）。对列入失信被执行人、重大税收违法案件当事人名单、政府采购严重违法失信行为记录名单的供应商将拒绝其参与医院采购活动。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060" w:type="dxa"/>
            <w:vMerge w:val="continue"/>
            <w:vAlign w:val="center"/>
          </w:tcPr>
          <w:p>
            <w:pPr>
              <w:snapToGrid w:val="0"/>
              <w:spacing w:line="400" w:lineRule="exact"/>
              <w:ind w:firstLine="420" w:firstLineChars="200"/>
              <w:rPr>
                <w:rFonts w:ascii="方正仿宋_GBK" w:hAnsi="宋体" w:eastAsia="方正仿宋_GBK" w:cs="Times New Roman"/>
                <w:color w:val="auto"/>
                <w:szCs w:val="21"/>
              </w:rPr>
            </w:pPr>
          </w:p>
        </w:tc>
        <w:tc>
          <w:tcPr>
            <w:tcW w:w="2825" w:type="dxa"/>
            <w:vAlign w:val="center"/>
          </w:tcPr>
          <w:p>
            <w:pPr>
              <w:snapToGrid w:val="0"/>
              <w:spacing w:line="400" w:lineRule="exac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（6）法律、行政法规规定的其他条件</w:t>
            </w:r>
          </w:p>
        </w:tc>
        <w:tc>
          <w:tcPr>
            <w:tcW w:w="4948" w:type="dxa"/>
            <w:vAlign w:val="center"/>
          </w:tcPr>
          <w:p>
            <w:pPr>
              <w:snapToGrid w:val="0"/>
              <w:spacing w:line="400" w:lineRule="exact"/>
              <w:ind w:firstLine="420" w:firstLineChars="20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3885"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特定资格条件</w:t>
            </w:r>
          </w:p>
        </w:tc>
        <w:tc>
          <w:tcPr>
            <w:tcW w:w="4948"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仿宋" w:eastAsia="方正仿宋_GBK" w:cs="Times New Roman"/>
                <w:color w:val="auto"/>
                <w:szCs w:val="21"/>
              </w:rPr>
              <w:t>按“第一篇三、</w:t>
            </w:r>
            <w:r>
              <w:rPr>
                <w:rFonts w:hint="eastAsia" w:ascii="方正仿宋_GBK" w:hAnsi="宋体" w:eastAsia="方正仿宋_GBK" w:cs="Times New Roman"/>
                <w:color w:val="auto"/>
                <w:sz w:val="24"/>
                <w:szCs w:val="24"/>
              </w:rPr>
              <w:t>供应商资格</w:t>
            </w:r>
            <w:r>
              <w:rPr>
                <w:rFonts w:hint="eastAsia" w:ascii="仿宋" w:hAnsi="仿宋" w:eastAsia="仿宋" w:cs="仿宋"/>
                <w:color w:val="auto"/>
                <w:sz w:val="24"/>
                <w:szCs w:val="24"/>
              </w:rPr>
              <w:t>要求</w:t>
            </w:r>
            <w:r>
              <w:rPr>
                <w:rFonts w:hint="eastAsia" w:ascii="方正仿宋_GBK" w:hAnsi="仿宋" w:eastAsia="方正仿宋_GBK" w:cs="Times New Roman"/>
                <w:color w:val="auto"/>
                <w:szCs w:val="21"/>
              </w:rPr>
              <w:t>（二）</w:t>
            </w:r>
            <w:r>
              <w:rPr>
                <w:rFonts w:hint="eastAsia" w:ascii="方正仿宋_GBK" w:hAnsi="宋体" w:eastAsia="方正仿宋_GBK" w:cs="Times New Roman"/>
                <w:color w:val="auto"/>
                <w:sz w:val="24"/>
                <w:szCs w:val="24"/>
              </w:rPr>
              <w:t>特定资格要求</w:t>
            </w:r>
            <w:r>
              <w:rPr>
                <w:rFonts w:hint="eastAsia" w:ascii="方正仿宋_GBK" w:hAnsi="仿宋" w:eastAsia="方正仿宋_GBK" w:cs="Times New Roman"/>
                <w:color w:val="auto"/>
                <w:szCs w:val="21"/>
              </w:rPr>
              <w:t>的要求提交</w:t>
            </w:r>
            <w:r>
              <w:rPr>
                <w:rFonts w:hint="eastAsia" w:ascii="方正仿宋_GBK" w:hAnsi="宋体" w:eastAsia="方正仿宋_GBK" w:cs="Times New Roman"/>
                <w:color w:val="auto"/>
                <w:szCs w:val="21"/>
              </w:rPr>
              <w:t>（如果有）</w:t>
            </w:r>
            <w:r>
              <w:rPr>
                <w:rFonts w:hint="eastAsia" w:ascii="方正仿宋_GBK" w:hAnsi="仿宋" w:eastAsia="方正仿宋_GBK" w:cs="Times New Roman"/>
                <w:color w:val="auto"/>
                <w:szCs w:val="21"/>
              </w:rPr>
              <w:t>。</w:t>
            </w:r>
          </w:p>
        </w:tc>
      </w:tr>
    </w:tbl>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供应商按“多证合一”登记制度办理营业执照的，税务登记证（副本）和社会保险登记证以供应商所提供的营业执照（副本）复印件为准。</w:t>
      </w:r>
    </w:p>
    <w:p>
      <w:pPr>
        <w:spacing w:line="390" w:lineRule="exact"/>
        <w:ind w:firstLine="480" w:firstLineChars="200"/>
        <w:rPr>
          <w:rFonts w:ascii="方正仿宋_GBK" w:hAnsi="宋体" w:eastAsia="方正仿宋_GBK" w:cs="Times New Roman"/>
          <w:color w:val="auto"/>
          <w:sz w:val="24"/>
          <w:szCs w:val="24"/>
        </w:rPr>
      </w:pPr>
      <w:r>
        <w:rPr>
          <w:rFonts w:ascii="Calibri" w:hAnsi="Calibri" w:eastAsia="方正仿宋_GBK" w:cs="Calibri"/>
          <w:color w:val="auto"/>
          <w:sz w:val="24"/>
          <w:szCs w:val="24"/>
        </w:rPr>
        <w:t>①</w:t>
      </w:r>
      <w:r>
        <w:rPr>
          <w:rFonts w:hint="eastAsia" w:ascii="方正仿宋_GBK" w:hAnsi="宋体" w:eastAsia="方正仿宋_GBK" w:cs="Times New Roman"/>
          <w:color w:val="auto"/>
          <w:sz w:val="24"/>
          <w:szCs w:val="24"/>
        </w:rPr>
        <w:t>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ascii="方正仿宋_GBK" w:hAnsi="宋体" w:eastAsia="方正仿宋_GBK" w:cs="Times New Roman"/>
          <w:color w:val="auto"/>
          <w:sz w:val="24"/>
          <w:szCs w:val="24"/>
        </w:rPr>
      </w:pPr>
      <w:r>
        <w:rPr>
          <w:rFonts w:ascii="方正仿宋_GBK" w:hAnsi="宋体" w:eastAsia="方正仿宋_GBK" w:cs="Times New Roman"/>
          <w:color w:val="auto"/>
          <w:sz w:val="24"/>
          <w:szCs w:val="24"/>
        </w:rPr>
        <w:t>②</w:t>
      </w:r>
      <w:r>
        <w:rPr>
          <w:rFonts w:hint="eastAsia" w:ascii="方正仿宋_GBK" w:hAnsi="宋体" w:eastAsia="方正仿宋_GBK" w:cs="Times New Roman"/>
          <w:color w:val="auto"/>
          <w:sz w:val="24"/>
          <w:szCs w:val="24"/>
        </w:rPr>
        <w:t>供应商应提供四张截图（截图模板见第七篇后模板）。</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3441" w:type="dxa"/>
            <w:gridSpan w:val="2"/>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评审因素</w:t>
            </w:r>
          </w:p>
        </w:tc>
        <w:tc>
          <w:tcPr>
            <w:tcW w:w="5409" w:type="dxa"/>
            <w:vAlign w:val="center"/>
          </w:tcPr>
          <w:p>
            <w:pPr>
              <w:snapToGrid w:val="0"/>
              <w:spacing w:line="400" w:lineRule="exact"/>
              <w:ind w:firstLine="420" w:firstLineChars="200"/>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1</w:t>
            </w:r>
          </w:p>
        </w:tc>
        <w:tc>
          <w:tcPr>
            <w:tcW w:w="1457" w:type="dxa"/>
            <w:vMerge w:val="restart"/>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有效性审查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响应文件签署</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w:t>
            </w:r>
          </w:p>
        </w:tc>
        <w:tc>
          <w:tcPr>
            <w:tcW w:w="5409"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响应方案</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ascii="方正仿宋_GBK" w:hAnsi="宋体" w:eastAsia="方正仿宋_GBK" w:cs="Times New Roman"/>
                <w:color w:val="auto"/>
                <w:szCs w:val="21"/>
              </w:rPr>
            </w:pPr>
          </w:p>
        </w:tc>
        <w:tc>
          <w:tcPr>
            <w:tcW w:w="1457" w:type="dxa"/>
            <w:vMerge w:val="continue"/>
            <w:vAlign w:val="center"/>
          </w:tcPr>
          <w:p>
            <w:pPr>
              <w:snapToGrid w:val="0"/>
              <w:spacing w:line="400" w:lineRule="exact"/>
              <w:ind w:firstLine="420" w:firstLineChars="200"/>
              <w:jc w:val="left"/>
              <w:rPr>
                <w:rFonts w:ascii="方正仿宋_GBK" w:hAnsi="宋体" w:eastAsia="方正仿宋_GBK" w:cs="Times New Roman"/>
                <w:color w:val="auto"/>
                <w:szCs w:val="21"/>
              </w:rPr>
            </w:pP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rPr>
              <w:t>报价唯一</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只能在预算金额和最高限价内报价，</w:t>
            </w:r>
            <w:r>
              <w:rPr>
                <w:rFonts w:hint="eastAsia" w:ascii="方正仿宋_GBK" w:hAnsi="宋体" w:eastAsia="方正仿宋_GBK" w:cs="Times New Roman"/>
                <w:color w:val="auto"/>
                <w:szCs w:val="21"/>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2</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完整性审查</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响应文件份数</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3</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服务部分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4</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商务部分</w:t>
            </w:r>
          </w:p>
        </w:tc>
        <w:tc>
          <w:tcPr>
            <w:tcW w:w="1984"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5</w:t>
            </w:r>
          </w:p>
        </w:tc>
        <w:tc>
          <w:tcPr>
            <w:tcW w:w="1457"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响应有效期</w:t>
            </w:r>
          </w:p>
        </w:tc>
        <w:tc>
          <w:tcPr>
            <w:tcW w:w="1984" w:type="dxa"/>
            <w:vAlign w:val="center"/>
          </w:tcPr>
          <w:p>
            <w:pPr>
              <w:snapToGrid w:val="0"/>
              <w:spacing w:line="400" w:lineRule="exact"/>
              <w:jc w:val="left"/>
              <w:rPr>
                <w:rFonts w:ascii="方正仿宋_GBK" w:hAnsi="宋体" w:eastAsia="方正仿宋_GBK" w:cs="Times New Roman"/>
                <w:color w:val="auto"/>
                <w:szCs w:val="21"/>
                <w:lang w:val="zh-CN"/>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文件内容</w:t>
            </w:r>
          </w:p>
        </w:tc>
        <w:tc>
          <w:tcPr>
            <w:tcW w:w="5409" w:type="dxa"/>
            <w:vAlign w:val="center"/>
          </w:tcPr>
          <w:p>
            <w:pPr>
              <w:snapToGrid w:val="0"/>
              <w:spacing w:line="400" w:lineRule="exact"/>
              <w:jc w:val="left"/>
              <w:rPr>
                <w:rFonts w:ascii="方正仿宋_GBK" w:hAnsi="宋体" w:eastAsia="方正仿宋_GBK" w:cs="Times New Roman"/>
                <w:color w:val="auto"/>
                <w:szCs w:val="21"/>
              </w:rPr>
            </w:pPr>
            <w:r>
              <w:rPr>
                <w:rFonts w:hint="eastAsia" w:ascii="方正仿宋_GBK" w:hAnsi="宋体" w:eastAsia="方正仿宋_GBK" w:cs="Times New Roman"/>
                <w:color w:val="auto"/>
                <w:szCs w:val="21"/>
                <w:lang w:val="zh-CN"/>
              </w:rPr>
              <w:t>响应</w:t>
            </w:r>
            <w:r>
              <w:rPr>
                <w:rFonts w:hint="eastAsia" w:ascii="方正仿宋_GBK" w:hAnsi="宋体" w:eastAsia="方正仿宋_GBK" w:cs="Times New Roman"/>
                <w:color w:val="auto"/>
                <w:szCs w:val="21"/>
              </w:rPr>
              <w:t>有效期为响应截止日期后90天内</w:t>
            </w:r>
          </w:p>
        </w:tc>
      </w:tr>
    </w:tbl>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（五）在比选过程中比选的任何一方不得向他人透露与比选有关的技术资料、价格或其他信息。</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（七）供应商在比选时作出的所有书面承诺须由法定代表人或其授权代表签字。</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（八）、比选结束后，评审小组要求所有参加正式比选的供应商在规定时间内同时书面提交最后报价及有关承诺（填写《最后报价表》）。</w:t>
      </w:r>
      <w:r>
        <w:rPr>
          <w:rFonts w:ascii="方正仿宋_GBK" w:hAnsi="宋体" w:eastAsia="方正仿宋_GBK" w:cs="Times New Roman"/>
          <w:color w:val="auto"/>
          <w:sz w:val="24"/>
          <w:szCs w:val="24"/>
        </w:rPr>
        <w:t>已提交响应文件</w:t>
      </w:r>
      <w:r>
        <w:rPr>
          <w:rFonts w:hint="eastAsia" w:ascii="方正仿宋_GBK" w:hAnsi="宋体" w:eastAsia="方正仿宋_GBK" w:cs="Times New Roman"/>
          <w:color w:val="auto"/>
          <w:sz w:val="24"/>
          <w:szCs w:val="24"/>
        </w:rPr>
        <w:t>但未在规定时间内进行最后报价</w:t>
      </w:r>
      <w:r>
        <w:rPr>
          <w:rFonts w:ascii="方正仿宋_GBK" w:hAnsi="宋体" w:eastAsia="方正仿宋_GBK" w:cs="Times New Roman"/>
          <w:color w:val="auto"/>
          <w:sz w:val="24"/>
          <w:szCs w:val="24"/>
        </w:rPr>
        <w:t>的供应商，</w:t>
      </w:r>
      <w:r>
        <w:rPr>
          <w:rFonts w:hint="eastAsia" w:ascii="方正仿宋_GBK" w:hAnsi="宋体" w:eastAsia="方正仿宋_GBK" w:cs="Times New Roman"/>
          <w:color w:val="auto"/>
          <w:sz w:val="24"/>
          <w:szCs w:val="24"/>
        </w:rPr>
        <w:t>视为放弃最后报价，以供应商响应文件中的报价为准。</w:t>
      </w:r>
    </w:p>
    <w:p>
      <w:pPr>
        <w:pStyle w:val="3"/>
        <w:spacing w:line="240" w:lineRule="auto"/>
        <w:rPr>
          <w:rFonts w:hint="eastAsia" w:ascii="微软雅黑" w:hAnsi="微软雅黑" w:eastAsia="微软雅黑" w:cs="微软雅黑"/>
          <w:color w:val="auto"/>
          <w:sz w:val="24"/>
          <w:szCs w:val="24"/>
        </w:rPr>
      </w:pPr>
      <w:bookmarkStart w:id="42" w:name="_Toc403569781"/>
      <w:bookmarkStart w:id="43" w:name="_Toc28776"/>
      <w:bookmarkStart w:id="44" w:name="_Toc14247"/>
      <w:bookmarkStart w:id="45" w:name="_Toc102227320"/>
      <w:bookmarkStart w:id="46" w:name="_Toc342913394"/>
      <w:r>
        <w:rPr>
          <w:rFonts w:hint="eastAsia" w:ascii="微软雅黑" w:hAnsi="微软雅黑" w:eastAsia="微软雅黑" w:cs="微软雅黑"/>
          <w:color w:val="auto"/>
          <w:sz w:val="24"/>
          <w:szCs w:val="24"/>
        </w:rPr>
        <w:t>五、评审依据</w:t>
      </w:r>
      <w:bookmarkEnd w:id="42"/>
      <w:bookmarkEnd w:id="43"/>
      <w:bookmarkEnd w:id="44"/>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评审的依据为比选文件和响应文件（含有效的补充文件）。评审小组判断响应文件对比选文件的响应，仅基于响应文件本身而不靠外部证据。</w:t>
      </w:r>
    </w:p>
    <w:p>
      <w:pPr>
        <w:pStyle w:val="3"/>
        <w:spacing w:line="240" w:lineRule="auto"/>
        <w:rPr>
          <w:rFonts w:hint="eastAsia" w:ascii="微软雅黑" w:hAnsi="微软雅黑" w:eastAsia="微软雅黑" w:cs="微软雅黑"/>
          <w:color w:val="auto"/>
          <w:sz w:val="24"/>
          <w:szCs w:val="24"/>
        </w:rPr>
      </w:pPr>
      <w:bookmarkStart w:id="47" w:name="_Toc403569782"/>
      <w:bookmarkStart w:id="48" w:name="_Toc29340"/>
      <w:bookmarkStart w:id="49" w:name="_Toc14816"/>
      <w:r>
        <w:rPr>
          <w:rFonts w:hint="eastAsia" w:ascii="微软雅黑" w:hAnsi="微软雅黑" w:eastAsia="微软雅黑" w:cs="微软雅黑"/>
          <w:color w:val="auto"/>
          <w:sz w:val="24"/>
          <w:szCs w:val="24"/>
        </w:rPr>
        <w:t>六、成交</w:t>
      </w:r>
      <w:bookmarkEnd w:id="45"/>
      <w:r>
        <w:rPr>
          <w:rFonts w:hint="eastAsia" w:ascii="微软雅黑" w:hAnsi="微软雅黑" w:eastAsia="微软雅黑" w:cs="微软雅黑"/>
          <w:color w:val="auto"/>
          <w:sz w:val="24"/>
          <w:szCs w:val="24"/>
        </w:rPr>
        <w:t>原则</w:t>
      </w:r>
      <w:bookmarkEnd w:id="46"/>
      <w:bookmarkEnd w:id="47"/>
      <w:bookmarkEnd w:id="48"/>
      <w:bookmarkEnd w:id="49"/>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（一）评审办法</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2.若供应商的最后报价经扣减后价格相同，按技术参数（条款）的优劣顺序排列；以上都相同的，按服务条款的优劣顺序排列。</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3.成交价格=成交供应商的最后报价</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（二）评审细则：</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资格符合性检查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依据法律法规和比选文件的规定，对供应商的资格证明等进行审查，以确定供应商是否具备比选资格。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2.对响应文件的有效性、完整性和响应程度检查</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依据比选文件的规定，对供应商的响应文件从技术、服务等方面进行审查，以确定供应商是否实质性响应比选文件的要求。</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3.若同一</w:t>
      </w:r>
      <w:r>
        <w:rPr>
          <w:rFonts w:ascii="方正仿宋_GBK" w:hAnsi="宋体" w:eastAsia="方正仿宋_GBK" w:cs="Times New Roman"/>
          <w:color w:val="auto"/>
          <w:sz w:val="24"/>
          <w:szCs w:val="24"/>
        </w:rPr>
        <w:t>合同项</w:t>
      </w:r>
      <w:r>
        <w:rPr>
          <w:rFonts w:hint="eastAsia" w:ascii="方正仿宋_GBK" w:hAnsi="宋体" w:eastAsia="方正仿宋_GBK" w:cs="Times New Roman"/>
          <w:color w:val="auto"/>
          <w:sz w:val="24"/>
          <w:szCs w:val="24"/>
        </w:rPr>
        <w:t>（分包）</w:t>
      </w:r>
      <w:r>
        <w:rPr>
          <w:rFonts w:ascii="方正仿宋_GBK" w:hAnsi="宋体" w:eastAsia="方正仿宋_GBK" w:cs="Times New Roman"/>
          <w:color w:val="auto"/>
          <w:sz w:val="24"/>
          <w:szCs w:val="24"/>
        </w:rPr>
        <w:t>下</w:t>
      </w:r>
      <w:r>
        <w:rPr>
          <w:rFonts w:hint="eastAsia" w:ascii="方正仿宋_GBK" w:hAnsi="宋体" w:eastAsia="方正仿宋_GBK" w:cs="Times New Roman"/>
          <w:color w:val="auto"/>
          <w:sz w:val="24"/>
          <w:szCs w:val="24"/>
        </w:rPr>
        <w:t>为单一品目的</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2" w:firstLineChars="200"/>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4.成交供应商的确定：</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 “第三篇 项目服务需求”有一条及以上不能满足比选文件要求的供应商将失去成为成交供应商的资格；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 “第四篇 项目商务需求”有一条及以上不能满足比选文件要求的供应商将失去成为成交供应商的资格。</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（4）评审小组将依照评审办法提出成交候选人。</w:t>
      </w:r>
    </w:p>
    <w:p>
      <w:pPr>
        <w:snapToGrid w:val="0"/>
        <w:spacing w:line="390" w:lineRule="exact"/>
        <w:ind w:firstLine="402" w:firstLineChars="167"/>
        <w:rPr>
          <w:rFonts w:ascii="方正仿宋_GBK" w:hAnsi="宋体" w:eastAsia="方正仿宋_GBK" w:cs="Times New Roman"/>
          <w:b/>
          <w:color w:val="auto"/>
          <w:sz w:val="24"/>
          <w:szCs w:val="24"/>
        </w:rPr>
      </w:pPr>
      <w:r>
        <w:rPr>
          <w:rFonts w:hint="eastAsia" w:ascii="方正仿宋_GBK" w:hAnsi="宋体" w:eastAsia="方正仿宋_GBK" w:cs="Times New Roman"/>
          <w:b/>
          <w:color w:val="auto"/>
          <w:sz w:val="24"/>
          <w:szCs w:val="24"/>
        </w:rPr>
        <w:t>5.成交供应商的变更</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（2）拒绝签订采购合同的成交供应商不得参加对该项目重新开展的采购活动，列入黑名单，3年内不能参加医院的采购活动。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w:t>
      </w:r>
      <w:r>
        <w:rPr>
          <w:rFonts w:hint="eastAsia" w:ascii="方正仿宋_GBK" w:hAnsi="宋体" w:eastAsia="方正仿宋_GBK"/>
          <w:b/>
          <w:color w:val="auto"/>
          <w:sz w:val="24"/>
          <w:szCs w:val="24"/>
        </w:rPr>
        <w:t xml:space="preserve"> 采购终止</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（1）因情况变化，不再符合规定的比选采购方式适用情形的；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（2）</w:t>
      </w:r>
      <w:r>
        <w:rPr>
          <w:rFonts w:hint="eastAsia" w:ascii="方正仿宋_GBK" w:hAnsi="宋体" w:eastAsia="方正仿宋_GBK" w:cs="Times New Roman"/>
          <w:color w:val="auto"/>
          <w:sz w:val="24"/>
          <w:szCs w:val="24"/>
        </w:rPr>
        <w:t>出现影响采购公正的违法、违规行为的；</w:t>
      </w:r>
    </w:p>
    <w:p>
      <w:pPr>
        <w:snapToGrid w:val="0"/>
        <w:spacing w:line="390" w:lineRule="exact"/>
        <w:ind w:firstLine="360" w:firstLineChars="15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（3）</w:t>
      </w:r>
      <w:r>
        <w:rPr>
          <w:rFonts w:hint="eastAsia" w:ascii="方正仿宋_GBK" w:hAnsi="宋体" w:eastAsia="方正仿宋_GBK" w:cs="Times New Roman"/>
          <w:color w:val="auto"/>
          <w:sz w:val="24"/>
          <w:szCs w:val="24"/>
        </w:rPr>
        <w:t>在采购过程中符合竞争要求的供应商不足3家的，</w:t>
      </w:r>
      <w:r>
        <w:rPr>
          <w:rFonts w:hint="eastAsia" w:ascii="方正仿宋_GBK" w:hAnsi="宋体" w:eastAsia="方正仿宋_GBK"/>
          <w:color w:val="auto"/>
          <w:sz w:val="24"/>
          <w:szCs w:val="24"/>
        </w:rPr>
        <w:t>但《医院采购管理办法（试行）》第二十</w:t>
      </w:r>
      <w:r>
        <w:rPr>
          <w:rFonts w:hint="eastAsia" w:ascii="方正仿宋_GBK" w:hAnsi="宋体" w:eastAsia="方正仿宋_GBK"/>
          <w:color w:val="auto"/>
          <w:sz w:val="24"/>
          <w:szCs w:val="24"/>
          <w:lang w:eastAsia="zh-CN"/>
        </w:rPr>
        <w:t>八</w:t>
      </w:r>
      <w:r>
        <w:rPr>
          <w:rFonts w:hint="eastAsia" w:ascii="方正仿宋_GBK" w:hAnsi="宋体" w:eastAsia="方正仿宋_GBK"/>
          <w:color w:val="auto"/>
          <w:sz w:val="24"/>
          <w:szCs w:val="24"/>
        </w:rPr>
        <w:t>条第一款（五）规定的情形除外。</w:t>
      </w:r>
    </w:p>
    <w:p>
      <w:pPr>
        <w:pStyle w:val="3"/>
        <w:spacing w:line="240" w:lineRule="auto"/>
        <w:rPr>
          <w:rFonts w:hint="eastAsia" w:ascii="微软雅黑" w:hAnsi="微软雅黑" w:eastAsia="微软雅黑" w:cs="微软雅黑"/>
          <w:color w:val="auto"/>
          <w:sz w:val="24"/>
          <w:szCs w:val="24"/>
        </w:rPr>
      </w:pPr>
      <w:bookmarkStart w:id="50" w:name="_Toc102227321"/>
      <w:bookmarkStart w:id="51" w:name="_Toc7135"/>
      <w:bookmarkStart w:id="52" w:name="_Toc3212"/>
      <w:bookmarkStart w:id="53" w:name="_Toc403569783"/>
      <w:bookmarkStart w:id="54" w:name="_Toc342913395"/>
      <w:r>
        <w:rPr>
          <w:rFonts w:hint="eastAsia" w:ascii="微软雅黑" w:hAnsi="微软雅黑" w:eastAsia="微软雅黑" w:cs="微软雅黑"/>
          <w:color w:val="auto"/>
          <w:sz w:val="24"/>
          <w:szCs w:val="24"/>
        </w:rPr>
        <w:t>七、成交通知</w:t>
      </w:r>
      <w:bookmarkEnd w:id="50"/>
      <w:bookmarkEnd w:id="51"/>
      <w:bookmarkEnd w:id="52"/>
      <w:bookmarkEnd w:id="53"/>
      <w:bookmarkEnd w:id="54"/>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1.成交供应商确定后，医院将在重庆医科大学附属永川医院官网发布成交结果公告，并仅对成交者发出电话通知。</w:t>
      </w:r>
    </w:p>
    <w:p>
      <w:pPr>
        <w:keepNext/>
        <w:keepLines/>
        <w:spacing w:line="390" w:lineRule="exact"/>
        <w:ind w:firstLine="360" w:firstLineChars="150"/>
        <w:outlineLvl w:val="2"/>
        <w:rPr>
          <w:rFonts w:ascii="方正仿宋_GBK" w:hAnsi="Times New Roman" w:eastAsia="方正仿宋_GBK" w:cs="Times New Roman"/>
          <w:color w:val="auto"/>
          <w:sz w:val="24"/>
          <w:szCs w:val="24"/>
        </w:rPr>
      </w:pPr>
      <w:r>
        <w:rPr>
          <w:rFonts w:hint="eastAsia" w:ascii="方正仿宋_GBK" w:hAnsi="Times New Roman" w:eastAsia="方正仿宋_GBK" w:cs="Times New Roman"/>
          <w:color w:val="auto"/>
          <w:sz w:val="24"/>
          <w:szCs w:val="24"/>
        </w:rPr>
        <w:t>2.接到采购结果通知后30天内必须来医院完善合同相关手续，逾期视为自动放弃供应商资格。</w:t>
      </w:r>
    </w:p>
    <w:p>
      <w:pPr>
        <w:pStyle w:val="3"/>
        <w:spacing w:line="240" w:lineRule="auto"/>
        <w:rPr>
          <w:rFonts w:hint="eastAsia" w:ascii="微软雅黑" w:hAnsi="微软雅黑" w:eastAsia="微软雅黑" w:cs="微软雅黑"/>
          <w:color w:val="auto"/>
          <w:sz w:val="24"/>
          <w:szCs w:val="24"/>
        </w:rPr>
      </w:pPr>
      <w:bookmarkStart w:id="55" w:name="_Toc12880"/>
      <w:bookmarkStart w:id="56" w:name="_Toc403569784"/>
      <w:bookmarkStart w:id="57" w:name="_Toc17413"/>
      <w:r>
        <w:rPr>
          <w:rFonts w:hint="eastAsia" w:ascii="微软雅黑" w:hAnsi="微软雅黑" w:eastAsia="微软雅黑" w:cs="微软雅黑"/>
          <w:color w:val="auto"/>
          <w:sz w:val="24"/>
          <w:szCs w:val="24"/>
        </w:rPr>
        <w:t>八、关于质疑和投诉</w:t>
      </w:r>
      <w:bookmarkEnd w:id="55"/>
      <w:bookmarkEnd w:id="56"/>
      <w:bookmarkEnd w:id="57"/>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提出质疑的应当是参与所质疑项目采购活动的供应商。 </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1、质疑时限、内容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（2）供应商提出质疑应当提交质疑函和必要的证明材料，质疑函应当包括下列内容：</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①供应商的姓名或者名称、地址、邮编、联系人及联系电话；</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②质疑项目的名称、项目编号；</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③具体、明确的质疑事项和与质疑事项相关的请求；</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④事实依据；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⑤必要的法律依据；</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⑥提出质疑的日期；</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⑦营业执照（或事业单位法人证书，或个体工商户营业执照或有效的自然人身份证明、组织机构代码证）复印件；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2、质疑答复</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3、其他</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（2）质疑函范本可在财政部门户网站和中国政府采购网下载。</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（三）投诉</w:t>
      </w:r>
    </w:p>
    <w:p>
      <w:pPr>
        <w:snapToGrid w:val="0"/>
        <w:spacing w:line="400" w:lineRule="exact"/>
        <w:ind w:firstLine="480" w:firstLineChars="200"/>
        <w:jc w:val="left"/>
        <w:rPr>
          <w:rFonts w:ascii="方正仿宋_GBK" w:hAnsi="宋体" w:eastAsia="方正仿宋_GBK" w:cs="Times New Roman"/>
          <w:color w:val="auto"/>
          <w:sz w:val="24"/>
          <w:szCs w:val="24"/>
        </w:rPr>
      </w:pPr>
      <w:bookmarkStart w:id="58" w:name="_Toc102227322"/>
      <w:bookmarkStart w:id="59" w:name="_Toc6381"/>
      <w:bookmarkStart w:id="60" w:name="_Toc342913396"/>
      <w:bookmarkStart w:id="61" w:name="_Toc403569785"/>
      <w:r>
        <w:rPr>
          <w:rFonts w:hint="eastAsia" w:ascii="方正仿宋_GBK" w:hAnsi="宋体" w:eastAsia="方正仿宋_GBK" w:cs="Times New Roman"/>
          <w:color w:val="auto"/>
          <w:sz w:val="24"/>
          <w:szCs w:val="24"/>
        </w:rPr>
        <w:t>供应商对医院的答复不满意，或者医院未在规定时间内答复的，可在答复期满后15个工作日内按有关规定，向院纪检部门投诉。</w:t>
      </w:r>
    </w:p>
    <w:p>
      <w:pPr>
        <w:pStyle w:val="3"/>
        <w:spacing w:line="240" w:lineRule="auto"/>
        <w:rPr>
          <w:rFonts w:hint="eastAsia" w:ascii="微软雅黑" w:hAnsi="微软雅黑" w:eastAsia="微软雅黑" w:cs="微软雅黑"/>
          <w:color w:val="auto"/>
          <w:sz w:val="24"/>
          <w:szCs w:val="24"/>
        </w:rPr>
      </w:pPr>
      <w:bookmarkStart w:id="62" w:name="_Toc5728"/>
      <w:r>
        <w:rPr>
          <w:rFonts w:hint="eastAsia" w:ascii="微软雅黑" w:hAnsi="微软雅黑" w:eastAsia="微软雅黑" w:cs="微软雅黑"/>
          <w:color w:val="auto"/>
          <w:sz w:val="24"/>
          <w:szCs w:val="24"/>
        </w:rPr>
        <w:t>九、签订</w:t>
      </w:r>
      <w:bookmarkEnd w:id="58"/>
      <w:r>
        <w:rPr>
          <w:rFonts w:hint="eastAsia" w:ascii="微软雅黑" w:hAnsi="微软雅黑" w:eastAsia="微软雅黑" w:cs="微软雅黑"/>
          <w:color w:val="auto"/>
          <w:sz w:val="24"/>
          <w:szCs w:val="24"/>
        </w:rPr>
        <w:t>合同</w:t>
      </w:r>
      <w:bookmarkEnd w:id="59"/>
      <w:bookmarkEnd w:id="60"/>
      <w:bookmarkEnd w:id="61"/>
      <w:bookmarkEnd w:id="62"/>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2、采购文件、成交供应商的响应文件及有效承诺文件等，均为签订合同的依据。</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3、如成交供应商放弃成交项目或在签订合同时擅自改变成交状态的，采购人将按照相关法律法规处理。</w:t>
      </w:r>
    </w:p>
    <w:p>
      <w:pPr>
        <w:snapToGrid w:val="0"/>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5、除不可抗力等因素外，成交通知书发出后，采购人改变成交结果，或者成交供应商拒绝签订政府采购合同的，应当承担相应的法律责任。</w:t>
      </w: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snapToGrid w:val="0"/>
        <w:spacing w:line="400" w:lineRule="exact"/>
        <w:ind w:firstLine="480" w:firstLineChars="200"/>
        <w:jc w:val="left"/>
        <w:rPr>
          <w:rFonts w:hint="eastAsia" w:ascii="方正仿宋_GBK" w:hAnsi="宋体" w:eastAsia="方正仿宋_GBK" w:cs="Times New Roman"/>
          <w:color w:val="auto"/>
          <w:sz w:val="24"/>
          <w:szCs w:val="24"/>
        </w:rPr>
      </w:pPr>
    </w:p>
    <w:p>
      <w:pPr>
        <w:pStyle w:val="2"/>
        <w:jc w:val="both"/>
        <w:rPr>
          <w:rFonts w:hint="eastAsia" w:ascii="微软雅黑" w:hAnsi="微软雅黑" w:eastAsia="微软雅黑" w:cs="微软雅黑"/>
          <w:b/>
          <w:color w:val="auto"/>
          <w:sz w:val="36"/>
          <w:szCs w:val="36"/>
        </w:rPr>
        <w:sectPr>
          <w:pgSz w:w="11907" w:h="16840"/>
          <w:pgMar w:top="1134" w:right="1191" w:bottom="1134" w:left="1304" w:header="964" w:footer="992" w:gutter="0"/>
          <w:pgNumType w:fmt="decimal"/>
          <w:cols w:space="720" w:num="1"/>
          <w:docGrid w:linePitch="312" w:charSpace="0"/>
        </w:sectPr>
      </w:pPr>
      <w:bookmarkStart w:id="63" w:name="_Toc11770"/>
      <w:bookmarkStart w:id="64" w:name="_Toc485108784"/>
    </w:p>
    <w:p>
      <w:pPr>
        <w:pStyle w:val="2"/>
        <w:jc w:val="center"/>
        <w:rPr>
          <w:b/>
          <w:color w:val="auto"/>
          <w:sz w:val="44"/>
          <w:szCs w:val="44"/>
        </w:rPr>
      </w:pPr>
      <w:r>
        <w:rPr>
          <w:rFonts w:hint="eastAsia" w:ascii="微软雅黑" w:hAnsi="微软雅黑" w:eastAsia="微软雅黑" w:cs="微软雅黑"/>
          <w:b/>
          <w:color w:val="auto"/>
          <w:sz w:val="36"/>
          <w:szCs w:val="36"/>
        </w:rPr>
        <w:t>第三篇  项目服务需求</w:t>
      </w:r>
      <w:bookmarkEnd w:id="63"/>
      <w:bookmarkEnd w:id="64"/>
    </w:p>
    <w:p>
      <w:pPr>
        <w:pStyle w:val="3"/>
        <w:spacing w:line="240" w:lineRule="auto"/>
        <w:rPr>
          <w:rFonts w:hint="eastAsia" w:ascii="微软雅黑" w:hAnsi="微软雅黑" w:eastAsia="微软雅黑" w:cs="微软雅黑"/>
          <w:color w:val="auto"/>
          <w:sz w:val="24"/>
          <w:szCs w:val="24"/>
        </w:rPr>
      </w:pPr>
      <w:bookmarkStart w:id="65" w:name="_Toc12789058"/>
      <w:bookmarkStart w:id="66" w:name="_Toc485108787"/>
      <w:bookmarkStart w:id="67" w:name="_Toc28327"/>
      <w:r>
        <w:rPr>
          <w:rFonts w:hint="eastAsia" w:ascii="微软雅黑" w:hAnsi="微软雅黑" w:eastAsia="微软雅黑" w:cs="微软雅黑"/>
          <w:color w:val="auto"/>
          <w:sz w:val="24"/>
          <w:szCs w:val="24"/>
        </w:rPr>
        <w:t>一、服务需求</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1、收购内容及频次：未被血液、体液、排泄物污染的各种玻璃、一次性塑料输液瓶和玻璃小药瓶，收购频次为2日/次，特殊情况除外。</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3、收购方须严格遵守国家的相关法律法规，不得从事非法的或未经许可的收购活动。</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4、收购方须在指定的区域内开展相关的回收工作，不得乱堆放回收物品，不得影响采购方工作秩序，不得将回收的物品用于原用途或其它非法用途。</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5、收购方须指派专业人员开展相关工作，各项工作须严格按照相关操作规程开展。</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6、收购方在回收各类物品时应随时接受我方监督，完成回收工作后应同采购方工作人员做好交接记录并签字确认。</w:t>
      </w:r>
    </w:p>
    <w:p>
      <w:pPr>
        <w:pStyle w:val="51"/>
        <w:tabs>
          <w:tab w:val="left" w:pos="1259"/>
        </w:tabs>
        <w:spacing w:beforeAutospacing="0" w:afterAutospacing="0" w:line="520" w:lineRule="exact"/>
        <w:ind w:firstLine="480" w:firstLineChars="200"/>
        <w:rPr>
          <w:rFonts w:hint="eastAsia" w:ascii="方正仿宋_GBK" w:hAnsi="宋体" w:eastAsia="方正仿宋_GBK" w:cs="Times New Roman"/>
          <w:color w:val="FF0000"/>
          <w:kern w:val="2"/>
          <w:sz w:val="24"/>
          <w:szCs w:val="24"/>
          <w:lang w:val="en-US" w:eastAsia="zh-CN" w:bidi="ar-SA"/>
        </w:rPr>
      </w:pPr>
      <w:r>
        <w:rPr>
          <w:rFonts w:hint="eastAsia" w:ascii="方正仿宋_GBK" w:hAnsi="宋体" w:eastAsia="方正仿宋_GBK" w:cs="Times New Roman"/>
          <w:color w:val="FF0000"/>
          <w:kern w:val="2"/>
          <w:sz w:val="24"/>
          <w:szCs w:val="24"/>
          <w:lang w:val="en-US" w:eastAsia="zh-CN" w:bidi="ar-SA"/>
        </w:rPr>
        <w:t>7、在回收过程中，收购方应采取有效的安全措施，保证工作人员和其他人员的人身安全，并承担因安全事故导致的一切经济和法律责任。如有损坏财产须照价赔偿。</w:t>
      </w:r>
    </w:p>
    <w:p>
      <w:pPr>
        <w:rPr>
          <w:rFonts w:hint="eastAsia"/>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both"/>
        <w:rPr>
          <w:rFonts w:hint="eastAsia" w:ascii="微软雅黑" w:hAnsi="微软雅黑" w:eastAsia="微软雅黑" w:cs="微软雅黑"/>
          <w:b/>
          <w:color w:val="auto"/>
          <w:sz w:val="36"/>
          <w:szCs w:val="36"/>
        </w:rPr>
      </w:pPr>
    </w:p>
    <w:p>
      <w:pPr>
        <w:rPr>
          <w:rFonts w:hint="eastAsia"/>
        </w:rPr>
      </w:pPr>
    </w:p>
    <w:p>
      <w:pPr>
        <w:pStyle w:val="2"/>
        <w:jc w:val="both"/>
        <w:rPr>
          <w:rFonts w:hint="eastAsia" w:ascii="微软雅黑" w:hAnsi="微软雅黑" w:eastAsia="微软雅黑" w:cs="微软雅黑"/>
          <w:b/>
          <w:color w:val="auto"/>
          <w:sz w:val="36"/>
          <w:szCs w:val="36"/>
        </w:rPr>
      </w:pPr>
    </w:p>
    <w:p>
      <w:pPr>
        <w:pStyle w:val="2"/>
        <w:jc w:val="cente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rPr>
          <w:rFonts w:hint="eastAsia" w:ascii="微软雅黑" w:hAnsi="微软雅黑" w:eastAsia="微软雅黑" w:cs="微软雅黑"/>
          <w:b/>
          <w:color w:val="auto"/>
          <w:sz w:val="36"/>
          <w:szCs w:val="36"/>
        </w:rPr>
      </w:pPr>
    </w:p>
    <w:p>
      <w:pPr>
        <w:pStyle w:val="2"/>
        <w:jc w:val="center"/>
        <w:rPr>
          <w:b/>
          <w:color w:val="auto"/>
          <w:sz w:val="44"/>
          <w:szCs w:val="44"/>
        </w:rPr>
      </w:pPr>
      <w:r>
        <w:rPr>
          <w:rFonts w:hint="eastAsia" w:ascii="微软雅黑" w:hAnsi="微软雅黑" w:eastAsia="微软雅黑" w:cs="微软雅黑"/>
          <w:b/>
          <w:color w:val="auto"/>
          <w:sz w:val="36"/>
          <w:szCs w:val="36"/>
        </w:rPr>
        <w:t>第四篇  项目商务需求</w:t>
      </w:r>
      <w:bookmarkEnd w:id="65"/>
      <w:bookmarkEnd w:id="66"/>
      <w:bookmarkEnd w:id="67"/>
      <w:bookmarkStart w:id="68" w:name="_Toc12789059"/>
      <w:bookmarkStart w:id="69" w:name="_Toc11641055"/>
    </w:p>
    <w:p>
      <w:pPr>
        <w:pStyle w:val="3"/>
        <w:spacing w:line="240" w:lineRule="auto"/>
        <w:rPr>
          <w:rFonts w:hint="eastAsia" w:ascii="微软雅黑" w:hAnsi="微软雅黑" w:eastAsia="微软雅黑" w:cs="微软雅黑"/>
          <w:color w:val="auto"/>
          <w:sz w:val="24"/>
          <w:szCs w:val="24"/>
          <w:lang w:val="en-US" w:eastAsia="zh-CN"/>
        </w:rPr>
      </w:pPr>
      <w:bookmarkStart w:id="70" w:name="_Toc11645"/>
      <w:bookmarkStart w:id="71" w:name="_Toc485108793"/>
      <w:bookmarkStart w:id="72" w:name="_Toc7358"/>
      <w:bookmarkStart w:id="73" w:name="_Toc403569795"/>
      <w:r>
        <w:rPr>
          <w:rFonts w:hint="eastAsia" w:ascii="微软雅黑" w:hAnsi="微软雅黑" w:eastAsia="微软雅黑" w:cs="微软雅黑"/>
          <w:color w:val="auto"/>
          <w:sz w:val="24"/>
          <w:szCs w:val="24"/>
          <w:lang w:val="en-US" w:eastAsia="zh-CN"/>
        </w:rPr>
        <w:t>一、商务需求</w:t>
      </w:r>
    </w:p>
    <w:p>
      <w:pPr>
        <w:snapToGrid w:val="0"/>
        <w:spacing w:line="400" w:lineRule="exact"/>
        <w:ind w:firstLine="540"/>
        <w:rPr>
          <w:rFonts w:hint="eastAsia" w:ascii="方正仿宋_GBK" w:hAnsi="宋体" w:eastAsia="方正仿宋_GBK" w:cs="Times New Roman"/>
          <w:color w:val="FF0000"/>
          <w:sz w:val="24"/>
          <w:szCs w:val="24"/>
        </w:rPr>
      </w:pPr>
      <w:r>
        <w:rPr>
          <w:rFonts w:hint="eastAsia" w:ascii="方正仿宋_GBK" w:hAnsi="宋体" w:eastAsia="方正仿宋_GBK" w:cs="Times New Roman"/>
          <w:color w:val="FF0000"/>
          <w:sz w:val="24"/>
          <w:szCs w:val="24"/>
          <w:lang w:val="en-US" w:eastAsia="zh-CN"/>
        </w:rPr>
        <w:t>1.</w:t>
      </w:r>
      <w:r>
        <w:rPr>
          <w:rFonts w:hint="eastAsia" w:ascii="方正仿宋_GBK" w:hAnsi="宋体" w:eastAsia="方正仿宋_GBK" w:cs="Times New Roman"/>
          <w:color w:val="FF0000"/>
          <w:sz w:val="24"/>
          <w:szCs w:val="24"/>
        </w:rPr>
        <w:t>合同期限：3年。</w:t>
      </w:r>
    </w:p>
    <w:p>
      <w:pPr>
        <w:snapToGrid w:val="0"/>
        <w:spacing w:line="400" w:lineRule="exact"/>
        <w:ind w:firstLine="540"/>
        <w:rPr>
          <w:rFonts w:hint="eastAsia" w:ascii="方正仿宋_GBK" w:hAnsi="宋体" w:eastAsia="方正仿宋_GBK" w:cs="Times New Roman"/>
          <w:color w:val="FF0000"/>
          <w:sz w:val="24"/>
          <w:szCs w:val="24"/>
          <w:lang w:val="en-US" w:eastAsia="zh-CN"/>
        </w:rPr>
      </w:pPr>
      <w:r>
        <w:rPr>
          <w:rFonts w:hint="eastAsia" w:ascii="方正仿宋_GBK" w:hAnsi="宋体" w:eastAsia="方正仿宋_GBK" w:cs="Times New Roman"/>
          <w:color w:val="FF0000"/>
          <w:sz w:val="24"/>
          <w:szCs w:val="24"/>
          <w:lang w:val="en-US" w:eastAsia="zh-CN"/>
        </w:rPr>
        <w:t>2.</w:t>
      </w:r>
      <w:r>
        <w:rPr>
          <w:rFonts w:hint="eastAsia" w:ascii="方正仿宋_GBK" w:hAnsi="宋体" w:eastAsia="方正仿宋_GBK" w:cs="Times New Roman"/>
          <w:color w:val="FF0000"/>
          <w:sz w:val="24"/>
          <w:szCs w:val="24"/>
        </w:rPr>
        <w:t>付款方式：每半年收购方向采购方支付一次回收费用，每年的第1月和第7月的前10日内完成付款</w:t>
      </w:r>
      <w:r>
        <w:rPr>
          <w:rFonts w:hint="eastAsia" w:ascii="方正仿宋_GBK" w:hAnsi="宋体" w:eastAsia="方正仿宋_GBK" w:cs="Times New Roman"/>
          <w:color w:val="FF0000"/>
          <w:sz w:val="24"/>
          <w:szCs w:val="24"/>
          <w:lang w:eastAsia="zh-CN"/>
        </w:rPr>
        <w:t>。</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val="en-US" w:eastAsia="zh-CN"/>
        </w:rPr>
        <w:t>二</w:t>
      </w:r>
      <w:r>
        <w:rPr>
          <w:rFonts w:hint="eastAsia" w:ascii="微软雅黑" w:hAnsi="微软雅黑" w:eastAsia="微软雅黑" w:cs="微软雅黑"/>
          <w:color w:val="auto"/>
          <w:sz w:val="24"/>
          <w:szCs w:val="24"/>
        </w:rPr>
        <w:t>、知识产权</w:t>
      </w:r>
      <w:bookmarkEnd w:id="70"/>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snapToGrid w:val="0"/>
        <w:spacing w:line="400" w:lineRule="exact"/>
        <w:ind w:firstLine="540"/>
        <w:rPr>
          <w:rFonts w:hint="eastAsia" w:ascii="微软雅黑" w:hAnsi="微软雅黑" w:eastAsia="微软雅黑" w:cs="微软雅黑"/>
          <w:color w:val="auto"/>
          <w:sz w:val="24"/>
          <w:szCs w:val="24"/>
          <w:lang w:val="en-US" w:eastAsia="zh-CN"/>
        </w:rPr>
      </w:pPr>
      <w:r>
        <w:rPr>
          <w:rFonts w:hint="eastAsia" w:ascii="方正仿宋_GBK" w:hAnsi="宋体" w:eastAsia="方正仿宋_GBK" w:cs="Times New Roman"/>
          <w:color w:val="auto"/>
          <w:sz w:val="24"/>
          <w:szCs w:val="24"/>
        </w:rPr>
        <w:t>（注：若涉及软件开发等服务类项目知识产权的，知识产权归采购人所有）。</w:t>
      </w:r>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三</w:t>
      </w:r>
      <w:r>
        <w:rPr>
          <w:rFonts w:hint="eastAsia" w:ascii="微软雅黑" w:hAnsi="微软雅黑" w:eastAsia="微软雅黑" w:cs="微软雅黑"/>
          <w:color w:val="auto"/>
          <w:sz w:val="24"/>
          <w:szCs w:val="24"/>
        </w:rPr>
        <w:t>、其他</w:t>
      </w:r>
      <w:bookmarkEnd w:id="71"/>
      <w:bookmarkEnd w:id="72"/>
      <w:bookmarkEnd w:id="73"/>
    </w:p>
    <w:p>
      <w:pPr>
        <w:snapToGrid w:val="0"/>
        <w:spacing w:line="400" w:lineRule="exact"/>
        <w:ind w:firstLine="54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（一）供应商必须在响应文件中对以上条款和服务承诺明确列出，承诺内容必须达到本篇及比选其他条款的要求。</w:t>
      </w:r>
    </w:p>
    <w:p>
      <w:pPr>
        <w:snapToGrid w:val="0"/>
        <w:spacing w:line="400" w:lineRule="exact"/>
        <w:ind w:firstLine="540"/>
        <w:rPr>
          <w:rFonts w:hint="eastAsia"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（二）其他未尽事宜由供需双方在采购合同中详细约定。</w:t>
      </w:r>
    </w:p>
    <w:p>
      <w:pPr>
        <w:pStyle w:val="2"/>
        <w:jc w:val="center"/>
        <w:rPr>
          <w:color w:val="auto"/>
          <w:sz w:val="44"/>
          <w:szCs w:val="44"/>
        </w:rPr>
      </w:pPr>
      <w:r>
        <w:rPr>
          <w:rFonts w:eastAsia="黑体"/>
          <w:b/>
          <w:color w:val="auto"/>
        </w:rPr>
        <w:br w:type="page"/>
      </w:r>
      <w:bookmarkEnd w:id="68"/>
      <w:bookmarkEnd w:id="69"/>
      <w:bookmarkStart w:id="74" w:name="_Toc403569796"/>
      <w:bookmarkStart w:id="75" w:name="_Toc485108794"/>
      <w:bookmarkStart w:id="76" w:name="_Toc14840"/>
      <w:bookmarkStart w:id="77" w:name="_Toc148265480"/>
      <w:bookmarkStart w:id="78" w:name="_Toc303945820"/>
      <w:r>
        <w:rPr>
          <w:rFonts w:hint="eastAsia" w:ascii="微软雅黑" w:hAnsi="微软雅黑" w:eastAsia="微软雅黑" w:cs="微软雅黑"/>
          <w:b/>
          <w:color w:val="auto"/>
          <w:sz w:val="36"/>
          <w:szCs w:val="36"/>
        </w:rPr>
        <w:t>第五篇  合同草案条款</w:t>
      </w:r>
      <w:bookmarkEnd w:id="74"/>
      <w:bookmarkEnd w:id="75"/>
      <w:bookmarkEnd w:id="76"/>
    </w:p>
    <w:p>
      <w:pPr>
        <w:pStyle w:val="3"/>
        <w:spacing w:line="240" w:lineRule="auto"/>
        <w:rPr>
          <w:rFonts w:hint="eastAsia" w:ascii="微软雅黑" w:hAnsi="微软雅黑" w:eastAsia="微软雅黑" w:cs="微软雅黑"/>
          <w:color w:val="auto"/>
          <w:sz w:val="24"/>
          <w:szCs w:val="24"/>
        </w:rPr>
      </w:pPr>
      <w:bookmarkStart w:id="79" w:name="_Toc54718202"/>
      <w:bookmarkStart w:id="80" w:name="_Toc30815"/>
      <w:r>
        <w:rPr>
          <w:rFonts w:hint="eastAsia" w:ascii="微软雅黑" w:hAnsi="微软雅黑" w:eastAsia="微软雅黑" w:cs="微软雅黑"/>
          <w:color w:val="auto"/>
          <w:sz w:val="24"/>
          <w:szCs w:val="24"/>
        </w:rPr>
        <w:t>一、定义</w:t>
      </w:r>
      <w:bookmarkEnd w:id="79"/>
      <w:bookmarkEnd w:id="80"/>
    </w:p>
    <w:p>
      <w:pPr>
        <w:snapToGrid w:val="0"/>
        <w:spacing w:line="400" w:lineRule="exact"/>
        <w:ind w:firstLine="480" w:firstLineChars="200"/>
        <w:jc w:val="left"/>
        <w:rPr>
          <w:rFonts w:ascii="方正仿宋_GBK" w:hAnsi="宋体" w:eastAsia="方正仿宋_GBK" w:cs="Times New Roman"/>
          <w:color w:val="auto"/>
          <w:sz w:val="24"/>
          <w:szCs w:val="24"/>
        </w:rPr>
      </w:pPr>
      <w:bookmarkStart w:id="81" w:name="_Toc988"/>
      <w:r>
        <w:rPr>
          <w:rFonts w:hint="eastAsia" w:ascii="方正仿宋_GBK" w:hAnsi="宋体" w:eastAsia="方正仿宋_GBK" w:cs="Times New Roman"/>
          <w:color w:val="auto"/>
          <w:sz w:val="24"/>
          <w:szCs w:val="24"/>
        </w:rPr>
        <w:t>（一）甲方（需方）即重庆医科大学附属永川医院。</w:t>
      </w:r>
      <w:bookmarkEnd w:id="81"/>
    </w:p>
    <w:p>
      <w:pPr>
        <w:snapToGrid w:val="0"/>
        <w:spacing w:line="400" w:lineRule="exact"/>
        <w:ind w:firstLine="480" w:firstLineChars="200"/>
        <w:jc w:val="left"/>
        <w:rPr>
          <w:rFonts w:ascii="方正仿宋_GBK" w:hAnsi="宋体" w:eastAsia="方正仿宋_GBK" w:cs="Times New Roman"/>
          <w:color w:val="auto"/>
          <w:sz w:val="24"/>
          <w:szCs w:val="24"/>
        </w:rPr>
      </w:pPr>
      <w:bookmarkStart w:id="82" w:name="_Toc22662"/>
      <w:r>
        <w:rPr>
          <w:rFonts w:hint="eastAsia" w:ascii="方正仿宋_GBK" w:hAnsi="宋体" w:eastAsia="方正仿宋_GBK" w:cs="Times New Roman"/>
          <w:color w:val="auto"/>
          <w:sz w:val="24"/>
          <w:szCs w:val="24"/>
        </w:rPr>
        <w:t>（二）乙方（供方）即成交供应商，是指成交后提供合同服务的自然人、法人及其他组织。</w:t>
      </w:r>
      <w:bookmarkEnd w:id="82"/>
    </w:p>
    <w:p>
      <w:pPr>
        <w:snapToGrid w:val="0"/>
        <w:spacing w:line="400" w:lineRule="exact"/>
        <w:ind w:firstLine="480" w:firstLineChars="200"/>
        <w:jc w:val="left"/>
        <w:rPr>
          <w:rFonts w:ascii="方正仿宋_GBK" w:hAnsi="宋体" w:eastAsia="方正仿宋_GBK" w:cs="Times New Roman"/>
          <w:color w:val="auto"/>
          <w:sz w:val="24"/>
          <w:szCs w:val="24"/>
        </w:rPr>
      </w:pPr>
      <w:bookmarkStart w:id="83" w:name="_Toc30025"/>
      <w:r>
        <w:rPr>
          <w:rFonts w:hint="eastAsia" w:ascii="方正仿宋_GBK" w:hAnsi="宋体" w:eastAsia="方正仿宋_GBK" w:cs="Times New Roman"/>
          <w:color w:val="auto"/>
          <w:sz w:val="24"/>
          <w:szCs w:val="24"/>
        </w:rPr>
        <w:t>（三）合同是指由甲乙双方按照比选文件和响应文件的实质性内容，通过协商一致达成的书面协议。</w:t>
      </w:r>
      <w:bookmarkEnd w:id="83"/>
    </w:p>
    <w:p>
      <w:pPr>
        <w:snapToGrid w:val="0"/>
        <w:spacing w:line="400" w:lineRule="exact"/>
        <w:ind w:firstLine="480" w:firstLineChars="200"/>
        <w:jc w:val="left"/>
        <w:rPr>
          <w:rFonts w:ascii="方正仿宋_GBK" w:hAnsi="宋体" w:eastAsia="方正仿宋_GBK" w:cs="Times New Roman"/>
          <w:color w:val="auto"/>
          <w:sz w:val="24"/>
          <w:szCs w:val="24"/>
        </w:rPr>
      </w:pPr>
      <w:bookmarkStart w:id="84" w:name="_Toc2152"/>
      <w:r>
        <w:rPr>
          <w:rFonts w:hint="eastAsia" w:ascii="方正仿宋_GBK" w:hAnsi="宋体" w:eastAsia="方正仿宋_GBK" w:cs="Times New Roman"/>
          <w:color w:val="auto"/>
          <w:sz w:val="24"/>
          <w:szCs w:val="24"/>
        </w:rPr>
        <w:t>（四）合同价格指以成交价格为依据，在供方全面履行合同义务后，需方应支付给供方的金额。</w:t>
      </w:r>
      <w:bookmarkEnd w:id="84"/>
    </w:p>
    <w:p>
      <w:pPr>
        <w:snapToGrid w:val="0"/>
        <w:spacing w:line="400" w:lineRule="exact"/>
        <w:ind w:firstLine="480" w:firstLineChars="200"/>
        <w:jc w:val="left"/>
        <w:rPr>
          <w:rFonts w:ascii="方正仿宋_GBK" w:hAnsi="宋体" w:eastAsia="方正仿宋_GBK" w:cs="Times New Roman"/>
          <w:color w:val="auto"/>
          <w:sz w:val="24"/>
          <w:szCs w:val="24"/>
        </w:rPr>
      </w:pPr>
      <w:bookmarkStart w:id="85" w:name="_Toc9666"/>
      <w:r>
        <w:rPr>
          <w:rFonts w:hint="eastAsia" w:ascii="方正仿宋_GBK" w:hAnsi="宋体" w:eastAsia="方正仿宋_GBK" w:cs="Times New Roman"/>
          <w:color w:val="auto"/>
          <w:sz w:val="24"/>
          <w:szCs w:val="24"/>
        </w:rPr>
        <w:t>（五）技术资料是指合同</w:t>
      </w:r>
      <w:r>
        <w:rPr>
          <w:rFonts w:hint="eastAsia" w:ascii="方正仿宋_GBK" w:hAnsi="宋体" w:eastAsia="方正仿宋_GBK" w:cs="Times New Roman"/>
          <w:color w:val="auto"/>
          <w:sz w:val="24"/>
          <w:szCs w:val="24"/>
          <w:lang w:eastAsia="zh-CN"/>
        </w:rPr>
        <w:t>服务</w:t>
      </w:r>
      <w:r>
        <w:rPr>
          <w:rFonts w:hint="eastAsia" w:ascii="方正仿宋_GBK" w:hAnsi="宋体" w:eastAsia="方正仿宋_GBK" w:cs="Times New Roman"/>
          <w:color w:val="auto"/>
          <w:sz w:val="24"/>
          <w:szCs w:val="24"/>
        </w:rPr>
        <w:t>及其相关的设计、制造、监造、检验、验收等文件（包括图纸、各种文字说明、标准）。</w:t>
      </w:r>
      <w:bookmarkEnd w:id="85"/>
    </w:p>
    <w:p>
      <w:pPr>
        <w:pStyle w:val="3"/>
        <w:spacing w:line="240" w:lineRule="auto"/>
        <w:rPr>
          <w:rFonts w:hint="eastAsia" w:ascii="微软雅黑" w:hAnsi="微软雅黑" w:eastAsia="微软雅黑" w:cs="微软雅黑"/>
          <w:color w:val="auto"/>
          <w:sz w:val="24"/>
          <w:szCs w:val="24"/>
        </w:rPr>
      </w:pPr>
      <w:bookmarkStart w:id="86" w:name="_Toc17879"/>
      <w:bookmarkStart w:id="87" w:name="_Toc54718203"/>
      <w:r>
        <w:rPr>
          <w:rFonts w:hint="eastAsia" w:ascii="微软雅黑" w:hAnsi="微软雅黑" w:eastAsia="微软雅黑" w:cs="微软雅黑"/>
          <w:color w:val="auto"/>
          <w:sz w:val="24"/>
          <w:szCs w:val="24"/>
        </w:rPr>
        <w:t>二、</w:t>
      </w:r>
      <w:r>
        <w:rPr>
          <w:rFonts w:hint="eastAsia" w:ascii="微软雅黑" w:hAnsi="微软雅黑" w:eastAsia="微软雅黑" w:cs="微软雅黑"/>
          <w:color w:val="auto"/>
          <w:sz w:val="24"/>
          <w:szCs w:val="24"/>
          <w:lang w:eastAsia="zh-CN"/>
        </w:rPr>
        <w:t>服务</w:t>
      </w:r>
      <w:r>
        <w:rPr>
          <w:rFonts w:hint="eastAsia" w:ascii="微软雅黑" w:hAnsi="微软雅黑" w:eastAsia="微软雅黑" w:cs="微软雅黑"/>
          <w:color w:val="auto"/>
          <w:sz w:val="24"/>
          <w:szCs w:val="24"/>
        </w:rPr>
        <w:t>内容</w:t>
      </w:r>
      <w:bookmarkEnd w:id="86"/>
      <w:bookmarkEnd w:id="87"/>
    </w:p>
    <w:p>
      <w:pPr>
        <w:snapToGrid w:val="0"/>
        <w:spacing w:line="400" w:lineRule="exact"/>
        <w:ind w:firstLine="480" w:firstLineChars="200"/>
        <w:jc w:val="left"/>
        <w:rPr>
          <w:rFonts w:ascii="方正仿宋_GBK" w:hAnsi="宋体" w:eastAsia="方正仿宋_GBK" w:cs="Times New Roman"/>
          <w:color w:val="auto"/>
          <w:sz w:val="24"/>
          <w:szCs w:val="24"/>
        </w:rPr>
      </w:pPr>
      <w:bookmarkStart w:id="88" w:name="_Toc28967"/>
      <w:r>
        <w:rPr>
          <w:rFonts w:hint="eastAsia" w:ascii="方正仿宋_GBK" w:hAnsi="宋体" w:eastAsia="方正仿宋_GBK" w:cs="Times New Roman"/>
          <w:color w:val="auto"/>
          <w:sz w:val="24"/>
          <w:szCs w:val="24"/>
        </w:rPr>
        <w:t>合同包括以下内容：</w:t>
      </w:r>
      <w:bookmarkEnd w:id="88"/>
      <w:r>
        <w:rPr>
          <w:rFonts w:hint="eastAsia" w:ascii="方正仿宋_GBK" w:hAnsi="宋体" w:eastAsia="方正仿宋_GBK" w:cs="Times New Roman"/>
          <w:color w:val="auto"/>
          <w:sz w:val="24"/>
          <w:szCs w:val="24"/>
          <w:lang w:eastAsia="zh-CN"/>
        </w:rPr>
        <w:t>货物内容、</w:t>
      </w:r>
      <w:r>
        <w:rPr>
          <w:rFonts w:hint="eastAsia" w:ascii="微软雅黑" w:hAnsi="微软雅黑" w:eastAsia="微软雅黑" w:cs="微软雅黑"/>
          <w:b w:val="0"/>
          <w:color w:val="auto"/>
          <w:kern w:val="2"/>
          <w:sz w:val="24"/>
          <w:szCs w:val="24"/>
          <w:lang w:val="en-US" w:eastAsia="zh-CN" w:bidi="ar-SA"/>
        </w:rPr>
        <w:t>服务内容、服务要求、双方权利及义务</w:t>
      </w:r>
      <w:r>
        <w:rPr>
          <w:rFonts w:hint="eastAsia" w:ascii="方正仿宋_GBK" w:hAnsi="宋体" w:eastAsia="方正仿宋_GBK" w:cs="Times New Roman"/>
          <w:color w:val="auto"/>
          <w:sz w:val="24"/>
          <w:szCs w:val="24"/>
        </w:rPr>
        <w:t>等内容。</w:t>
      </w:r>
    </w:p>
    <w:p>
      <w:pPr>
        <w:pStyle w:val="3"/>
        <w:spacing w:line="240" w:lineRule="auto"/>
        <w:rPr>
          <w:rFonts w:hint="eastAsia" w:ascii="微软雅黑" w:hAnsi="微软雅黑" w:eastAsia="微软雅黑" w:cs="微软雅黑"/>
          <w:color w:val="auto"/>
          <w:sz w:val="24"/>
          <w:szCs w:val="24"/>
        </w:rPr>
      </w:pPr>
      <w:bookmarkStart w:id="89" w:name="_Toc54718204"/>
      <w:bookmarkStart w:id="90" w:name="_Toc8853"/>
      <w:r>
        <w:rPr>
          <w:rFonts w:hint="eastAsia" w:ascii="微软雅黑" w:hAnsi="微软雅黑" w:eastAsia="微软雅黑" w:cs="微软雅黑"/>
          <w:color w:val="auto"/>
          <w:sz w:val="24"/>
          <w:szCs w:val="24"/>
        </w:rPr>
        <w:t>三、合同价格</w:t>
      </w:r>
      <w:bookmarkEnd w:id="89"/>
      <w:bookmarkEnd w:id="90"/>
    </w:p>
    <w:p>
      <w:pPr>
        <w:snapToGrid w:val="0"/>
        <w:spacing w:line="400" w:lineRule="exact"/>
        <w:ind w:firstLine="480" w:firstLineChars="200"/>
        <w:jc w:val="left"/>
        <w:rPr>
          <w:rFonts w:ascii="方正仿宋_GBK" w:hAnsi="宋体" w:eastAsia="方正仿宋_GBK" w:cs="Times New Roman"/>
          <w:color w:val="auto"/>
          <w:sz w:val="24"/>
          <w:szCs w:val="24"/>
        </w:rPr>
      </w:pPr>
      <w:bookmarkStart w:id="91" w:name="_Toc25177"/>
      <w:bookmarkStart w:id="92" w:name="_Toc54718205"/>
      <w:r>
        <w:rPr>
          <w:rFonts w:hint="eastAsia" w:ascii="方正仿宋_GBK" w:hAnsi="宋体" w:eastAsia="方正仿宋_GBK" w:cs="Times New Roman"/>
          <w:color w:val="auto"/>
          <w:sz w:val="24"/>
          <w:szCs w:val="24"/>
        </w:rPr>
        <w:t>（一）合同价格即</w:t>
      </w:r>
      <w:r>
        <w:rPr>
          <w:rFonts w:hint="eastAsia" w:ascii="方正仿宋_GBK" w:hAnsi="宋体" w:eastAsia="方正仿宋_GBK" w:cs="Times New Roman"/>
          <w:color w:val="auto"/>
          <w:sz w:val="24"/>
          <w:szCs w:val="24"/>
          <w:lang w:eastAsia="zh-CN"/>
        </w:rPr>
        <w:t>项目总价</w:t>
      </w:r>
      <w:r>
        <w:rPr>
          <w:rFonts w:hint="eastAsia" w:ascii="方正仿宋_GBK" w:hAnsi="宋体" w:eastAsia="方正仿宋_GBK" w:cs="Times New Roman"/>
          <w:color w:val="auto"/>
          <w:sz w:val="24"/>
          <w:szCs w:val="24"/>
        </w:rPr>
        <w:t>。</w:t>
      </w:r>
      <w:bookmarkEnd w:id="91"/>
    </w:p>
    <w:p>
      <w:pPr>
        <w:snapToGrid w:val="0"/>
        <w:spacing w:line="400" w:lineRule="exact"/>
        <w:ind w:firstLine="480" w:firstLineChars="200"/>
        <w:jc w:val="left"/>
        <w:rPr>
          <w:rFonts w:ascii="方正仿宋_GBK" w:hAnsi="宋体" w:eastAsia="方正仿宋_GBK" w:cs="Times New Roman"/>
          <w:color w:val="auto"/>
          <w:sz w:val="24"/>
          <w:szCs w:val="24"/>
        </w:rPr>
      </w:pPr>
      <w:bookmarkStart w:id="93" w:name="_Toc3890"/>
      <w:r>
        <w:rPr>
          <w:rFonts w:hint="eastAsia" w:ascii="方正仿宋_GBK" w:hAnsi="宋体" w:eastAsia="方正仿宋_GBK" w:cs="Times New Roman"/>
          <w:color w:val="auto"/>
          <w:sz w:val="24"/>
          <w:szCs w:val="24"/>
        </w:rPr>
        <w:t>（二）合同价格</w:t>
      </w:r>
      <w:r>
        <w:rPr>
          <w:rFonts w:hint="eastAsia" w:ascii="方正仿宋_GBK" w:hAnsi="宋体" w:eastAsia="方正仿宋_GBK" w:cs="宋体"/>
          <w:color w:val="auto"/>
          <w:kern w:val="0"/>
          <w:sz w:val="24"/>
          <w:szCs w:val="24"/>
        </w:rPr>
        <w:t>包含但不限于</w:t>
      </w:r>
      <w:r>
        <w:rPr>
          <w:rFonts w:hint="eastAsia" w:ascii="方正仿宋_GBK" w:hAnsi="宋体" w:eastAsia="方正仿宋_GBK" w:cs="宋体"/>
          <w:color w:val="auto"/>
          <w:kern w:val="0"/>
          <w:sz w:val="24"/>
          <w:szCs w:val="24"/>
          <w:lang w:eastAsia="zh-CN"/>
        </w:rPr>
        <w:t>拆旧费、</w:t>
      </w:r>
      <w:r>
        <w:rPr>
          <w:rFonts w:hint="eastAsia" w:ascii="方正仿宋_GBK" w:hAnsi="宋体" w:eastAsia="方正仿宋_GBK" w:cs="宋体"/>
          <w:color w:val="auto"/>
          <w:kern w:val="0"/>
          <w:sz w:val="24"/>
          <w:szCs w:val="24"/>
        </w:rPr>
        <w:t>货款、税费、运输费、保险费、安装费、调试费等各项费用</w:t>
      </w:r>
      <w:r>
        <w:rPr>
          <w:rFonts w:hint="eastAsia" w:ascii="方正仿宋_GBK" w:hAnsi="宋体" w:eastAsia="方正仿宋_GBK" w:cs="宋体"/>
          <w:color w:val="auto"/>
          <w:kern w:val="0"/>
          <w:sz w:val="24"/>
          <w:szCs w:val="24"/>
          <w:lang w:eastAsia="zh-CN"/>
        </w:rPr>
        <w:t>，</w:t>
      </w:r>
      <w:r>
        <w:rPr>
          <w:rFonts w:hint="eastAsia" w:ascii="方正仿宋_GBK" w:hAnsi="宋体" w:eastAsia="方正仿宋_GBK" w:cs="Times New Roman"/>
          <w:color w:val="auto"/>
          <w:sz w:val="24"/>
          <w:szCs w:val="24"/>
        </w:rPr>
        <w:t>所有税费由乙方负担。</w:t>
      </w:r>
      <w:bookmarkEnd w:id="93"/>
    </w:p>
    <w:p>
      <w:pPr>
        <w:pStyle w:val="3"/>
        <w:spacing w:line="240" w:lineRule="auto"/>
        <w:rPr>
          <w:rFonts w:hint="eastAsia" w:ascii="微软雅黑" w:hAnsi="微软雅黑" w:eastAsia="微软雅黑" w:cs="微软雅黑"/>
          <w:color w:val="auto"/>
          <w:sz w:val="24"/>
          <w:szCs w:val="24"/>
        </w:rPr>
      </w:pPr>
      <w:bookmarkStart w:id="94" w:name="_Toc24410"/>
      <w:r>
        <w:rPr>
          <w:rFonts w:hint="eastAsia" w:ascii="微软雅黑" w:hAnsi="微软雅黑" w:eastAsia="微软雅黑" w:cs="微软雅黑"/>
          <w:color w:val="auto"/>
          <w:sz w:val="24"/>
          <w:szCs w:val="24"/>
        </w:rPr>
        <w:t>四、转包或分包</w:t>
      </w:r>
      <w:bookmarkEnd w:id="92"/>
      <w:bookmarkEnd w:id="94"/>
    </w:p>
    <w:p>
      <w:pPr>
        <w:snapToGrid w:val="0"/>
        <w:spacing w:line="400" w:lineRule="exact"/>
        <w:ind w:firstLine="480" w:firstLineChars="200"/>
        <w:jc w:val="left"/>
        <w:rPr>
          <w:rFonts w:ascii="方正仿宋_GBK" w:hAnsi="宋体" w:eastAsia="方正仿宋_GBK" w:cs="Times New Roman"/>
          <w:color w:val="auto"/>
          <w:sz w:val="24"/>
          <w:szCs w:val="24"/>
        </w:rPr>
      </w:pPr>
      <w:bookmarkStart w:id="95" w:name="_Toc8161"/>
      <w:r>
        <w:rPr>
          <w:rFonts w:hint="eastAsia" w:ascii="方正仿宋_GBK" w:hAnsi="宋体" w:eastAsia="方正仿宋_GBK" w:cs="Times New Roman"/>
          <w:color w:val="auto"/>
          <w:sz w:val="24"/>
          <w:szCs w:val="24"/>
        </w:rPr>
        <w:t>（一）本合同范围的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，应由乙方直接供应，不得转让他人供应；</w:t>
      </w:r>
      <w:bookmarkEnd w:id="95"/>
    </w:p>
    <w:p>
      <w:pPr>
        <w:snapToGrid w:val="0"/>
        <w:spacing w:line="400" w:lineRule="exact"/>
        <w:ind w:firstLine="480" w:firstLineChars="200"/>
        <w:jc w:val="left"/>
        <w:rPr>
          <w:rFonts w:ascii="方正仿宋_GBK" w:hAnsi="宋体" w:eastAsia="方正仿宋_GBK" w:cs="Times New Roman"/>
          <w:color w:val="auto"/>
          <w:sz w:val="24"/>
          <w:szCs w:val="24"/>
        </w:rPr>
      </w:pPr>
      <w:bookmarkStart w:id="96" w:name="_Toc26926"/>
      <w:r>
        <w:rPr>
          <w:rFonts w:hint="eastAsia" w:ascii="方正仿宋_GBK" w:hAnsi="宋体" w:eastAsia="方正仿宋_GBK" w:cs="Times New Roman"/>
          <w:color w:val="auto"/>
          <w:sz w:val="24"/>
          <w:szCs w:val="24"/>
        </w:rPr>
        <w:t>（二）非经甲方书面同意，乙方不得将本合同范围的</w:t>
      </w:r>
      <w:r>
        <w:rPr>
          <w:rFonts w:hint="eastAsia" w:ascii="方正仿宋_GBK" w:hAnsi="宋体" w:eastAsia="方正仿宋_GBK" w:cs="Times New Roman"/>
          <w:color w:val="auto"/>
          <w:sz w:val="24"/>
          <w:szCs w:val="24"/>
          <w:lang w:eastAsia="zh-CN"/>
        </w:rPr>
        <w:t>货物及服务</w:t>
      </w:r>
      <w:r>
        <w:rPr>
          <w:rFonts w:hint="eastAsia" w:ascii="方正仿宋_GBK" w:hAnsi="宋体" w:eastAsia="方正仿宋_GBK" w:cs="Times New Roman"/>
          <w:color w:val="auto"/>
          <w:sz w:val="24"/>
          <w:szCs w:val="24"/>
        </w:rPr>
        <w:t>全部或部分分包给他人供应；</w:t>
      </w:r>
      <w:bookmarkEnd w:id="96"/>
    </w:p>
    <w:p>
      <w:pPr>
        <w:snapToGrid w:val="0"/>
        <w:spacing w:line="400" w:lineRule="exact"/>
        <w:ind w:firstLine="480" w:firstLineChars="200"/>
        <w:jc w:val="left"/>
        <w:rPr>
          <w:rFonts w:ascii="方正仿宋_GBK" w:hAnsi="宋体" w:eastAsia="方正仿宋_GBK" w:cs="Times New Roman"/>
          <w:color w:val="auto"/>
          <w:sz w:val="24"/>
          <w:szCs w:val="24"/>
        </w:rPr>
      </w:pPr>
      <w:bookmarkStart w:id="97" w:name="_Toc11245"/>
      <w:r>
        <w:rPr>
          <w:rFonts w:hint="eastAsia" w:ascii="方正仿宋_GBK" w:hAnsi="宋体" w:eastAsia="方正仿宋_GBK" w:cs="Times New Roman"/>
          <w:color w:val="auto"/>
          <w:sz w:val="24"/>
          <w:szCs w:val="24"/>
        </w:rPr>
        <w:t>（三）如有转让和未经甲方同意的分包行为，甲方有权解除合同，没收履约保证金并追究乙方的违约责任。</w:t>
      </w:r>
      <w:bookmarkEnd w:id="97"/>
    </w:p>
    <w:p>
      <w:pPr>
        <w:pStyle w:val="3"/>
        <w:spacing w:line="240" w:lineRule="auto"/>
        <w:rPr>
          <w:rFonts w:hint="eastAsia" w:ascii="微软雅黑" w:hAnsi="微软雅黑" w:eastAsia="微软雅黑" w:cs="微软雅黑"/>
          <w:color w:val="auto"/>
          <w:sz w:val="24"/>
          <w:szCs w:val="24"/>
        </w:rPr>
      </w:pPr>
      <w:bookmarkStart w:id="98" w:name="_Toc54718206"/>
      <w:bookmarkStart w:id="99" w:name="_Toc2241"/>
      <w:r>
        <w:rPr>
          <w:rFonts w:hint="eastAsia" w:ascii="微软雅黑" w:hAnsi="微软雅黑" w:eastAsia="微软雅黑" w:cs="微软雅黑"/>
          <w:color w:val="auto"/>
          <w:sz w:val="24"/>
          <w:szCs w:val="24"/>
        </w:rPr>
        <w:t>五、质量保证及售后服务</w:t>
      </w:r>
      <w:bookmarkEnd w:id="98"/>
      <w:bookmarkEnd w:id="99"/>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lang w:eastAsia="zh-CN"/>
        </w:rPr>
      </w:pPr>
      <w:bookmarkStart w:id="100" w:name="_Toc12985"/>
      <w:bookmarkStart w:id="101" w:name="_Toc23372"/>
      <w:r>
        <w:rPr>
          <w:rFonts w:hint="eastAsia" w:ascii="方正仿宋_GBK" w:hAnsi="宋体" w:eastAsia="方正仿宋_GBK"/>
          <w:color w:val="auto"/>
          <w:sz w:val="24"/>
          <w:szCs w:val="24"/>
          <w:lang w:eastAsia="zh-CN"/>
        </w:rPr>
        <w:t>（一）乙方提供的服务需符合国家相关法律法规，并满足甲方提出的相关要求。</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）如在使用过程中</w:t>
      </w:r>
      <w:r>
        <w:rPr>
          <w:rFonts w:hint="eastAsia" w:ascii="方正仿宋_GBK" w:hAnsi="宋体" w:eastAsia="方正仿宋_GBK"/>
          <w:color w:val="auto"/>
          <w:sz w:val="24"/>
          <w:szCs w:val="24"/>
          <w:lang w:eastAsia="zh-CN"/>
        </w:rPr>
        <w:t>出现争议</w:t>
      </w:r>
      <w:r>
        <w:rPr>
          <w:rFonts w:hint="eastAsia" w:ascii="方正仿宋_GBK" w:hAnsi="宋体" w:eastAsia="方正仿宋_GBK"/>
          <w:color w:val="auto"/>
          <w:sz w:val="24"/>
          <w:szCs w:val="24"/>
        </w:rPr>
        <w:t>问题，乙方应同本项目“第</w:t>
      </w:r>
      <w:r>
        <w:rPr>
          <w:rFonts w:hint="eastAsia" w:ascii="方正仿宋_GBK" w:hAnsi="宋体" w:eastAsia="方正仿宋_GBK"/>
          <w:color w:val="auto"/>
          <w:sz w:val="24"/>
          <w:szCs w:val="24"/>
          <w:lang w:eastAsia="zh-CN"/>
        </w:rPr>
        <w:t>四</w:t>
      </w:r>
      <w:r>
        <w:rPr>
          <w:rFonts w:hint="eastAsia" w:ascii="方正仿宋_GBK" w:hAnsi="宋体" w:eastAsia="方正仿宋_GBK"/>
          <w:color w:val="auto"/>
          <w:sz w:val="24"/>
          <w:szCs w:val="24"/>
        </w:rPr>
        <w:t>篇 项目商务要求”对质量保证及售后服务内容的约定。</w:t>
      </w:r>
      <w:bookmarkEnd w:id="100"/>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三</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合同</w:t>
      </w:r>
      <w:r>
        <w:rPr>
          <w:rFonts w:hint="eastAsia" w:ascii="方正仿宋_GBK" w:hAnsi="宋体" w:eastAsia="方正仿宋_GBK"/>
          <w:color w:val="auto"/>
          <w:sz w:val="24"/>
          <w:szCs w:val="24"/>
        </w:rPr>
        <w:t>期内，</w:t>
      </w:r>
      <w:r>
        <w:rPr>
          <w:rFonts w:hint="eastAsia" w:ascii="方正仿宋_GBK" w:hAnsi="宋体" w:eastAsia="方正仿宋_GBK"/>
          <w:color w:val="auto"/>
          <w:sz w:val="24"/>
          <w:szCs w:val="24"/>
          <w:lang w:eastAsia="zh-CN"/>
        </w:rPr>
        <w:t>在服务过程中出现的</w:t>
      </w:r>
      <w:r>
        <w:rPr>
          <w:rFonts w:hint="eastAsia" w:ascii="方正仿宋_GBK" w:hAnsi="宋体" w:eastAsia="方正仿宋_GBK"/>
          <w:color w:val="auto"/>
          <w:sz w:val="24"/>
          <w:szCs w:val="24"/>
        </w:rPr>
        <w:t>安全问题</w:t>
      </w: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rPr>
        <w:t>乙方负责处理解决并承担一切费用。</w:t>
      </w:r>
      <w:bookmarkEnd w:id="101"/>
    </w:p>
    <w:p>
      <w:pPr>
        <w:pStyle w:val="3"/>
        <w:spacing w:line="240" w:lineRule="auto"/>
        <w:rPr>
          <w:rFonts w:hint="eastAsia" w:ascii="微软雅黑" w:hAnsi="微软雅黑" w:eastAsia="微软雅黑" w:cs="微软雅黑"/>
          <w:color w:val="auto"/>
          <w:sz w:val="24"/>
          <w:szCs w:val="24"/>
        </w:rPr>
      </w:pPr>
      <w:bookmarkStart w:id="102" w:name="_Toc54718207"/>
      <w:bookmarkStart w:id="103" w:name="_Toc9053"/>
      <w:r>
        <w:rPr>
          <w:rFonts w:hint="eastAsia" w:ascii="微软雅黑" w:hAnsi="微软雅黑" w:eastAsia="微软雅黑" w:cs="微软雅黑"/>
          <w:color w:val="auto"/>
          <w:sz w:val="24"/>
          <w:szCs w:val="24"/>
        </w:rPr>
        <w:t>六、付款</w:t>
      </w:r>
      <w:bookmarkEnd w:id="102"/>
      <w:bookmarkEnd w:id="103"/>
    </w:p>
    <w:p>
      <w:pPr>
        <w:snapToGrid w:val="0"/>
        <w:spacing w:line="400" w:lineRule="exact"/>
        <w:ind w:firstLine="480" w:firstLineChars="200"/>
        <w:jc w:val="left"/>
        <w:rPr>
          <w:rFonts w:ascii="方正仿宋_GBK" w:hAnsi="宋体" w:eastAsia="方正仿宋_GBK" w:cs="Times New Roman"/>
          <w:color w:val="auto"/>
          <w:sz w:val="24"/>
          <w:szCs w:val="24"/>
        </w:rPr>
      </w:pPr>
      <w:bookmarkStart w:id="104" w:name="_Toc23183"/>
      <w:r>
        <w:rPr>
          <w:rFonts w:hint="eastAsia" w:ascii="方正仿宋_GBK" w:hAnsi="宋体" w:eastAsia="方正仿宋_GBK" w:cs="Times New Roman"/>
          <w:color w:val="auto"/>
          <w:sz w:val="24"/>
          <w:szCs w:val="24"/>
        </w:rPr>
        <w:t>（一）本合同使用货币币制如未作特别说明均为人民币。</w:t>
      </w:r>
      <w:bookmarkEnd w:id="104"/>
    </w:p>
    <w:p>
      <w:pPr>
        <w:snapToGrid w:val="0"/>
        <w:spacing w:line="400" w:lineRule="exact"/>
        <w:ind w:firstLine="480" w:firstLineChars="200"/>
        <w:jc w:val="left"/>
        <w:rPr>
          <w:rFonts w:ascii="方正仿宋_GBK" w:hAnsi="宋体" w:eastAsia="方正仿宋_GBK" w:cs="Times New Roman"/>
          <w:color w:val="auto"/>
          <w:sz w:val="24"/>
          <w:szCs w:val="24"/>
        </w:rPr>
      </w:pPr>
      <w:bookmarkStart w:id="105" w:name="_Toc8880"/>
      <w:r>
        <w:rPr>
          <w:rFonts w:hint="eastAsia" w:ascii="方正仿宋_GBK" w:hAnsi="宋体" w:eastAsia="方正仿宋_GBK" w:cs="Times New Roman"/>
          <w:color w:val="auto"/>
          <w:sz w:val="24"/>
          <w:szCs w:val="24"/>
        </w:rPr>
        <w:t>（二）付款方式：银行转账。</w:t>
      </w:r>
      <w:bookmarkEnd w:id="105"/>
    </w:p>
    <w:p>
      <w:pPr>
        <w:snapToGrid w:val="0"/>
        <w:spacing w:line="400" w:lineRule="exact"/>
        <w:ind w:firstLine="480" w:firstLineChars="200"/>
        <w:jc w:val="left"/>
        <w:rPr>
          <w:rFonts w:ascii="方正仿宋_GBK" w:hAnsi="宋体" w:eastAsia="方正仿宋_GBK" w:cs="Times New Roman"/>
          <w:color w:val="auto"/>
          <w:sz w:val="24"/>
          <w:szCs w:val="24"/>
        </w:rPr>
      </w:pPr>
      <w:bookmarkStart w:id="106" w:name="_Toc28037"/>
      <w:r>
        <w:rPr>
          <w:rFonts w:hint="eastAsia" w:ascii="方正仿宋_GBK" w:hAnsi="宋体" w:eastAsia="方正仿宋_GBK" w:cs="Times New Roman"/>
          <w:color w:val="auto"/>
          <w:sz w:val="24"/>
          <w:szCs w:val="24"/>
        </w:rPr>
        <w:t>（三）付款方法：同本项目“第四篇 项目商务要求”中关于付款方式的约定。</w:t>
      </w:r>
      <w:bookmarkEnd w:id="106"/>
    </w:p>
    <w:p>
      <w:pPr>
        <w:pStyle w:val="3"/>
        <w:spacing w:line="240" w:lineRule="auto"/>
        <w:rPr>
          <w:rFonts w:hint="eastAsia" w:ascii="微软雅黑" w:hAnsi="微软雅黑" w:eastAsia="微软雅黑" w:cs="微软雅黑"/>
          <w:color w:val="auto"/>
          <w:sz w:val="24"/>
          <w:szCs w:val="24"/>
        </w:rPr>
      </w:pPr>
      <w:bookmarkStart w:id="107" w:name="_Toc11586"/>
      <w:bookmarkStart w:id="108" w:name="_Toc54718211"/>
      <w:r>
        <w:rPr>
          <w:rFonts w:hint="eastAsia" w:ascii="微软雅黑" w:hAnsi="微软雅黑" w:eastAsia="微软雅黑" w:cs="微软雅黑"/>
          <w:color w:val="auto"/>
          <w:sz w:val="24"/>
          <w:szCs w:val="24"/>
          <w:lang w:eastAsia="zh-CN"/>
        </w:rPr>
        <w:t>七</w:t>
      </w:r>
      <w:r>
        <w:rPr>
          <w:rFonts w:hint="eastAsia" w:ascii="微软雅黑" w:hAnsi="微软雅黑" w:eastAsia="微软雅黑" w:cs="微软雅黑"/>
          <w:color w:val="auto"/>
          <w:sz w:val="24"/>
          <w:szCs w:val="24"/>
        </w:rPr>
        <w:t>、合同争议的解决</w:t>
      </w:r>
      <w:bookmarkEnd w:id="107"/>
      <w:bookmarkEnd w:id="108"/>
    </w:p>
    <w:p>
      <w:pPr>
        <w:snapToGrid w:val="0"/>
        <w:spacing w:line="400" w:lineRule="exact"/>
        <w:ind w:firstLine="480" w:firstLineChars="200"/>
        <w:jc w:val="left"/>
        <w:rPr>
          <w:rFonts w:ascii="方正仿宋_GBK" w:hAnsi="宋体" w:eastAsia="方正仿宋_GBK" w:cs="Times New Roman"/>
          <w:color w:val="auto"/>
          <w:sz w:val="24"/>
          <w:szCs w:val="24"/>
        </w:rPr>
      </w:pPr>
      <w:bookmarkStart w:id="109" w:name="_Toc5382"/>
      <w:r>
        <w:rPr>
          <w:rFonts w:hint="eastAsia" w:ascii="方正仿宋_GBK" w:hAnsi="宋体" w:eastAsia="方正仿宋_GBK" w:cs="Times New Roman"/>
          <w:color w:val="auto"/>
          <w:sz w:val="24"/>
          <w:szCs w:val="24"/>
        </w:rPr>
        <w:t>（一）当事人友好协商达成一致</w:t>
      </w:r>
      <w:bookmarkEnd w:id="109"/>
    </w:p>
    <w:p>
      <w:pPr>
        <w:snapToGrid w:val="0"/>
        <w:spacing w:line="400" w:lineRule="exact"/>
        <w:ind w:firstLine="480" w:firstLineChars="200"/>
        <w:jc w:val="left"/>
        <w:rPr>
          <w:rFonts w:ascii="方正仿宋_GBK" w:hAnsi="宋体" w:eastAsia="方正仿宋_GBK" w:cs="Times New Roman"/>
          <w:color w:val="auto"/>
          <w:sz w:val="24"/>
          <w:szCs w:val="24"/>
        </w:rPr>
      </w:pPr>
      <w:bookmarkStart w:id="110" w:name="_Toc29926"/>
      <w:r>
        <w:rPr>
          <w:rFonts w:hint="eastAsia" w:ascii="方正仿宋_GBK" w:hAnsi="宋体" w:eastAsia="方正仿宋_GBK" w:cs="Times New Roman"/>
          <w:color w:val="auto"/>
          <w:sz w:val="24"/>
          <w:szCs w:val="24"/>
        </w:rPr>
        <w:t>（二）</w:t>
      </w:r>
      <w:bookmarkEnd w:id="110"/>
      <w:r>
        <w:rPr>
          <w:rFonts w:hint="eastAsia" w:ascii="方正仿宋_GBK" w:hAnsi="宋体" w:eastAsia="方正仿宋_GBK"/>
          <w:color w:val="auto"/>
          <w:sz w:val="24"/>
          <w:szCs w:val="24"/>
        </w:rPr>
        <w:t>在60天内当事人协商不能达成协议的，任何一方均可向永川区人民法院起诉。</w:t>
      </w:r>
    </w:p>
    <w:p>
      <w:pPr>
        <w:snapToGrid w:val="0"/>
        <w:spacing w:line="400" w:lineRule="exact"/>
        <w:outlineLvl w:val="1"/>
        <w:rPr>
          <w:rFonts w:hint="eastAsia" w:ascii="方正仿宋_GBK" w:hAnsi="宋体" w:eastAsia="方正仿宋_GBK"/>
          <w:b/>
          <w:bCs/>
          <w:color w:val="auto"/>
          <w:sz w:val="24"/>
          <w:szCs w:val="24"/>
        </w:rPr>
      </w:pPr>
      <w:bookmarkStart w:id="111" w:name="_Toc31719"/>
      <w:bookmarkStart w:id="112" w:name="_Toc54718210"/>
      <w:bookmarkStart w:id="113" w:name="_Toc54718212"/>
      <w:bookmarkStart w:id="114" w:name="_Toc26580"/>
      <w:r>
        <w:rPr>
          <w:rFonts w:hint="eastAsia" w:ascii="方正仿宋_GBK" w:hAnsi="宋体" w:eastAsia="方正仿宋_GBK"/>
          <w:b/>
          <w:bCs/>
          <w:color w:val="auto"/>
          <w:sz w:val="24"/>
          <w:szCs w:val="24"/>
          <w:lang w:val="en-US" w:eastAsia="zh-CN"/>
        </w:rPr>
        <w:t>八</w:t>
      </w:r>
      <w:r>
        <w:rPr>
          <w:rFonts w:hint="eastAsia" w:ascii="方正仿宋_GBK" w:hAnsi="宋体" w:eastAsia="方正仿宋_GBK"/>
          <w:b/>
          <w:bCs/>
          <w:color w:val="auto"/>
          <w:sz w:val="24"/>
          <w:szCs w:val="24"/>
        </w:rPr>
        <w:t>、知识产权</w:t>
      </w:r>
      <w:bookmarkEnd w:id="111"/>
      <w:bookmarkEnd w:id="112"/>
    </w:p>
    <w:p>
      <w:pPr>
        <w:snapToGrid w:val="0"/>
        <w:spacing w:line="400" w:lineRule="exact"/>
        <w:ind w:firstLine="480" w:firstLineChars="200"/>
        <w:rPr>
          <w:rFonts w:hint="eastAsia" w:ascii="方正仿宋_GBK" w:hAnsi="宋体" w:eastAsia="方正仿宋_GBK"/>
          <w:color w:val="auto"/>
          <w:sz w:val="24"/>
          <w:szCs w:val="24"/>
        </w:rPr>
      </w:pPr>
      <w:bookmarkStart w:id="115" w:name="_Toc11938"/>
      <w:r>
        <w:rPr>
          <w:rFonts w:hint="eastAsia" w:ascii="方正仿宋_GBK" w:hAnsi="宋体" w:eastAsia="方正仿宋_GBK"/>
          <w:color w:val="auto"/>
          <w:sz w:val="24"/>
          <w:szCs w:val="24"/>
        </w:rPr>
        <w:t>（一）甲方在中华人民共和国境内使用乙方提供的货物及服务时免受第三方提出的侵犯其专利权或其它知识产权的起诉。如果第三方提出侵权指控，乙方承担由此而引起的一切法律责任和费用。</w:t>
      </w:r>
      <w:bookmarkEnd w:id="115"/>
    </w:p>
    <w:p>
      <w:pPr>
        <w:snapToGrid w:val="0"/>
        <w:spacing w:line="400" w:lineRule="exact"/>
        <w:ind w:firstLine="480" w:firstLineChars="200"/>
        <w:rPr>
          <w:rFonts w:hint="eastAsia" w:ascii="微软雅黑" w:hAnsi="微软雅黑" w:eastAsia="微软雅黑" w:cs="微软雅黑"/>
          <w:color w:val="auto"/>
          <w:sz w:val="24"/>
          <w:szCs w:val="24"/>
          <w:lang w:eastAsia="zh-CN"/>
        </w:rPr>
      </w:pPr>
      <w:bookmarkStart w:id="116" w:name="_Toc17287"/>
      <w:r>
        <w:rPr>
          <w:rFonts w:hint="eastAsia" w:ascii="方正仿宋_GBK" w:hAnsi="宋体" w:eastAsia="方正仿宋_GBK"/>
          <w:color w:val="auto"/>
          <w:sz w:val="24"/>
          <w:szCs w:val="24"/>
        </w:rPr>
        <w:t>（二）若涉及软件开发等服务类项目知识产权的，知识产权归医院所有。</w:t>
      </w:r>
      <w:bookmarkEnd w:id="116"/>
    </w:p>
    <w:p>
      <w:pPr>
        <w:pStyle w:val="3"/>
        <w:spacing w:line="240" w:lineRule="auto"/>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lang w:eastAsia="zh-CN"/>
        </w:rPr>
        <w:t>九</w:t>
      </w:r>
      <w:r>
        <w:rPr>
          <w:rFonts w:hint="eastAsia" w:ascii="微软雅黑" w:hAnsi="微软雅黑" w:eastAsia="微软雅黑" w:cs="微软雅黑"/>
          <w:color w:val="auto"/>
          <w:sz w:val="24"/>
          <w:szCs w:val="24"/>
        </w:rPr>
        <w:t>、违约责任</w:t>
      </w:r>
      <w:bookmarkEnd w:id="113"/>
      <w:bookmarkEnd w:id="114"/>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bookmarkStart w:id="117" w:name="_Toc54718213"/>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一</w:t>
      </w:r>
      <w:r>
        <w:rPr>
          <w:rFonts w:hint="eastAsia" w:ascii="方正仿宋_GBK" w:hAnsi="宋体" w:eastAsia="方正仿宋_GBK"/>
          <w:color w:val="auto"/>
          <w:sz w:val="24"/>
          <w:szCs w:val="24"/>
        </w:rPr>
        <w:t>）按《中华人民共和国民法典》有关条款，在合同期内，乙方对</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与合同要求不符承担责任，并且甲方已于规定合同期内提出违约，乙方应按甲方同意的下述一种或多种方法解决违约事宜。</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二</w:t>
      </w:r>
      <w:r>
        <w:rPr>
          <w:rFonts w:hint="eastAsia" w:ascii="方正仿宋_GBK" w:hAnsi="宋体" w:eastAsia="方正仿宋_GBK"/>
          <w:color w:val="auto"/>
          <w:sz w:val="24"/>
          <w:szCs w:val="24"/>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（三）乙方出现下列情况之一的，甲方有权随时终止合同：</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1.合同有效期内，因政策调整变化、乙方所</w:t>
      </w:r>
      <w:r>
        <w:rPr>
          <w:rFonts w:hint="eastAsia" w:ascii="方正仿宋_GBK" w:hAnsi="宋体" w:eastAsia="方正仿宋_GBK"/>
          <w:color w:val="auto"/>
          <w:sz w:val="24"/>
          <w:szCs w:val="24"/>
          <w:lang w:eastAsia="zh-CN"/>
        </w:rPr>
        <w:t>服务项目不满足相关政策</w:t>
      </w:r>
      <w:r>
        <w:rPr>
          <w:rFonts w:hint="eastAsia" w:ascii="方正仿宋_GBK" w:hAnsi="宋体" w:eastAsia="方正仿宋_GBK"/>
          <w:color w:val="auto"/>
          <w:sz w:val="24"/>
          <w:szCs w:val="24"/>
        </w:rPr>
        <w:t>，甲方有权提前解除或终止本合同，甲方应提前通知乙方，本合同自通知送达之日即解除或终止。</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2.乙方提供虚假书面材料的（如：资质文件、合格证明等）和未遵守《廉洁购销合同》相关条款的；</w:t>
      </w:r>
    </w:p>
    <w:p>
      <w:pPr>
        <w:pageBreakBefore w:val="0"/>
        <w:kinsoku/>
        <w:wordWrap/>
        <w:overflowPunct/>
        <w:topLinePunct w:val="0"/>
        <w:bidi w:val="0"/>
        <w:snapToGrid w:val="0"/>
        <w:spacing w:line="24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3.未经甲方同意，乙方擅自变更公司名称或擅自停止</w:t>
      </w:r>
      <w:r>
        <w:rPr>
          <w:rFonts w:hint="eastAsia" w:ascii="方正仿宋_GBK" w:hAnsi="宋体" w:eastAsia="方正仿宋_GBK"/>
          <w:color w:val="auto"/>
          <w:sz w:val="24"/>
          <w:szCs w:val="24"/>
          <w:lang w:eastAsia="zh-CN"/>
        </w:rPr>
        <w:t>服务的</w:t>
      </w:r>
      <w:r>
        <w:rPr>
          <w:rFonts w:hint="eastAsia" w:ascii="方正仿宋_GBK" w:hAnsi="宋体" w:eastAsia="方正仿宋_GBK"/>
          <w:color w:val="auto"/>
          <w:sz w:val="24"/>
          <w:szCs w:val="24"/>
        </w:rPr>
        <w:t>；</w:t>
      </w:r>
    </w:p>
    <w:p>
      <w:pPr>
        <w:pageBreakBefore w:val="0"/>
        <w:kinsoku/>
        <w:wordWrap/>
        <w:overflowPunct/>
        <w:topLinePunct w:val="0"/>
        <w:bidi w:val="0"/>
        <w:snapToGrid w:val="0"/>
        <w:spacing w:line="24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4.未经甲方同意，供货方擅自涨价或停止</w:t>
      </w:r>
      <w:r>
        <w:rPr>
          <w:rFonts w:hint="eastAsia" w:ascii="方正仿宋_GBK" w:hAnsi="宋体" w:eastAsia="方正仿宋_GBK"/>
          <w:color w:val="auto"/>
          <w:sz w:val="24"/>
          <w:szCs w:val="24"/>
          <w:lang w:eastAsia="zh-CN"/>
        </w:rPr>
        <w:t>服务</w:t>
      </w:r>
      <w:r>
        <w:rPr>
          <w:rFonts w:hint="eastAsia" w:ascii="方正仿宋_GBK" w:hAnsi="宋体" w:eastAsia="方正仿宋_GBK"/>
          <w:color w:val="auto"/>
          <w:sz w:val="24"/>
          <w:szCs w:val="24"/>
        </w:rPr>
        <w:t>的</w:t>
      </w:r>
      <w:r>
        <w:rPr>
          <w:rFonts w:hint="eastAsia" w:ascii="方正仿宋_GBK" w:hAnsi="宋体" w:eastAsia="方正仿宋_GBK" w:cs="Times New Roman"/>
          <w:color w:val="auto"/>
          <w:sz w:val="24"/>
          <w:szCs w:val="24"/>
        </w:rPr>
        <w:t>。</w:t>
      </w:r>
    </w:p>
    <w:p>
      <w:pPr>
        <w:pStyle w:val="3"/>
        <w:spacing w:line="240" w:lineRule="auto"/>
        <w:rPr>
          <w:rFonts w:hint="eastAsia" w:ascii="微软雅黑" w:hAnsi="微软雅黑" w:eastAsia="微软雅黑" w:cs="微软雅黑"/>
          <w:color w:val="auto"/>
          <w:sz w:val="24"/>
          <w:szCs w:val="24"/>
        </w:rPr>
      </w:pPr>
      <w:bookmarkStart w:id="118" w:name="_Toc16142"/>
      <w:r>
        <w:rPr>
          <w:rFonts w:hint="eastAsia" w:ascii="微软雅黑" w:hAnsi="微软雅黑" w:eastAsia="微软雅黑" w:cs="微软雅黑"/>
          <w:color w:val="auto"/>
          <w:sz w:val="24"/>
          <w:szCs w:val="24"/>
          <w:lang w:eastAsia="zh-CN"/>
        </w:rPr>
        <w:t>十</w:t>
      </w:r>
      <w:r>
        <w:rPr>
          <w:rFonts w:hint="eastAsia" w:ascii="微软雅黑" w:hAnsi="微软雅黑" w:eastAsia="微软雅黑" w:cs="微软雅黑"/>
          <w:color w:val="auto"/>
          <w:sz w:val="24"/>
          <w:szCs w:val="24"/>
        </w:rPr>
        <w:t>、合同生效及其它</w:t>
      </w:r>
      <w:bookmarkEnd w:id="117"/>
      <w:bookmarkEnd w:id="118"/>
    </w:p>
    <w:p>
      <w:pPr>
        <w:snapToGrid w:val="0"/>
        <w:spacing w:line="400" w:lineRule="exact"/>
        <w:ind w:firstLine="480" w:firstLineChars="200"/>
        <w:jc w:val="left"/>
        <w:rPr>
          <w:rFonts w:ascii="方正仿宋_GBK" w:hAnsi="宋体" w:eastAsia="方正仿宋_GBK" w:cs="Times New Roman"/>
          <w:color w:val="auto"/>
          <w:sz w:val="24"/>
          <w:szCs w:val="24"/>
        </w:rPr>
      </w:pPr>
      <w:bookmarkStart w:id="119" w:name="_Toc7071"/>
      <w:r>
        <w:rPr>
          <w:rFonts w:hint="eastAsia" w:ascii="方正仿宋_GBK" w:hAnsi="宋体" w:eastAsia="方正仿宋_GBK" w:cs="Times New Roman"/>
          <w:color w:val="auto"/>
          <w:sz w:val="24"/>
          <w:szCs w:val="24"/>
        </w:rPr>
        <w:t>（一）合同生效及其效力应符合《中华人民共和国民法典》有关规定。</w:t>
      </w:r>
      <w:bookmarkEnd w:id="119"/>
    </w:p>
    <w:p>
      <w:pPr>
        <w:snapToGrid w:val="0"/>
        <w:spacing w:line="400" w:lineRule="exact"/>
        <w:ind w:firstLine="480" w:firstLineChars="200"/>
        <w:jc w:val="left"/>
        <w:rPr>
          <w:rFonts w:ascii="方正仿宋_GBK" w:hAnsi="宋体" w:eastAsia="方正仿宋_GBK" w:cs="Times New Roman"/>
          <w:color w:val="auto"/>
          <w:sz w:val="24"/>
          <w:szCs w:val="24"/>
        </w:rPr>
      </w:pPr>
      <w:bookmarkStart w:id="120" w:name="_Toc26923"/>
      <w:r>
        <w:rPr>
          <w:rFonts w:hint="eastAsia" w:ascii="方正仿宋_GBK" w:hAnsi="宋体" w:eastAsia="方正仿宋_GBK" w:cs="Times New Roman"/>
          <w:color w:val="auto"/>
          <w:sz w:val="24"/>
          <w:szCs w:val="24"/>
        </w:rPr>
        <w:t>（二）合同应经当事人法定代表人或委托代理人签字，加盖双方合同专用章或公章。</w:t>
      </w:r>
      <w:bookmarkEnd w:id="120"/>
    </w:p>
    <w:p>
      <w:pPr>
        <w:snapToGrid w:val="0"/>
        <w:spacing w:line="400" w:lineRule="exact"/>
        <w:ind w:firstLine="480" w:firstLineChars="200"/>
        <w:jc w:val="left"/>
        <w:rPr>
          <w:rFonts w:ascii="方正仿宋_GBK" w:hAnsi="宋体" w:eastAsia="方正仿宋_GBK" w:cs="Times New Roman"/>
          <w:color w:val="auto"/>
          <w:sz w:val="24"/>
          <w:szCs w:val="24"/>
        </w:rPr>
      </w:pPr>
      <w:bookmarkStart w:id="121" w:name="_Toc21580"/>
      <w:r>
        <w:rPr>
          <w:rFonts w:hint="eastAsia" w:ascii="方正仿宋_GBK" w:hAnsi="宋体" w:eastAsia="方正仿宋_GBK" w:cs="Times New Roman"/>
          <w:color w:val="auto"/>
          <w:sz w:val="24"/>
          <w:szCs w:val="24"/>
        </w:rPr>
        <w:t>（三）合同所包括附件，是合同不可分割的一部分，具有同等法法律效力。</w:t>
      </w:r>
      <w:bookmarkEnd w:id="121"/>
    </w:p>
    <w:p>
      <w:pPr>
        <w:snapToGrid w:val="0"/>
        <w:spacing w:line="400" w:lineRule="exact"/>
        <w:ind w:firstLine="480" w:firstLineChars="200"/>
        <w:jc w:val="left"/>
        <w:rPr>
          <w:rFonts w:ascii="方正仿宋_GBK" w:hAnsi="宋体" w:eastAsia="方正仿宋_GBK" w:cs="Times New Roman"/>
          <w:color w:val="auto"/>
          <w:sz w:val="24"/>
          <w:szCs w:val="24"/>
        </w:rPr>
      </w:pPr>
      <w:bookmarkStart w:id="122" w:name="_Toc28233"/>
      <w:r>
        <w:rPr>
          <w:rFonts w:hint="eastAsia" w:ascii="方正仿宋_GBK" w:hAnsi="宋体" w:eastAsia="方正仿宋_GBK" w:cs="Times New Roman"/>
          <w:color w:val="auto"/>
          <w:sz w:val="24"/>
          <w:szCs w:val="24"/>
        </w:rPr>
        <w:t>（四）合同需提供担保的，按《中华人民共和国担保法》规定执行。</w:t>
      </w:r>
      <w:bookmarkEnd w:id="122"/>
    </w:p>
    <w:p>
      <w:pPr>
        <w:snapToGrid w:val="0"/>
        <w:spacing w:line="400" w:lineRule="exact"/>
        <w:ind w:firstLine="480" w:firstLineChars="200"/>
        <w:jc w:val="left"/>
        <w:rPr>
          <w:rFonts w:ascii="方正仿宋_GBK" w:hAnsi="宋体" w:eastAsia="方正仿宋_GBK" w:cs="Times New Roman"/>
          <w:color w:val="auto"/>
          <w:sz w:val="24"/>
          <w:szCs w:val="24"/>
        </w:rPr>
      </w:pPr>
      <w:bookmarkStart w:id="123" w:name="_Toc18983"/>
      <w:r>
        <w:rPr>
          <w:rFonts w:hint="eastAsia" w:ascii="方正仿宋_GBK" w:hAnsi="宋体" w:eastAsia="方正仿宋_GBK" w:cs="Times New Roman"/>
          <w:color w:val="auto"/>
          <w:sz w:val="24"/>
          <w:szCs w:val="24"/>
        </w:rPr>
        <w:t>（五）本合同条件未尽事宜依照《中华人民共和国民法典》，由供需双方共同协商确定。</w:t>
      </w:r>
      <w:bookmarkEnd w:id="123"/>
    </w:p>
    <w:bookmarkEnd w:id="77"/>
    <w:bookmarkEnd w:id="78"/>
    <w:p>
      <w:pPr>
        <w:tabs>
          <w:tab w:val="left" w:pos="9000"/>
        </w:tabs>
        <w:spacing w:line="276" w:lineRule="auto"/>
        <w:jc w:val="both"/>
        <w:rPr>
          <w:rFonts w:ascii="方正仿宋_GBK" w:hAnsi="Times New Roman" w:eastAsia="方正仿宋_GBK" w:cs="Times New Roman"/>
          <w:color w:val="auto"/>
          <w:szCs w:val="21"/>
        </w:rPr>
        <w:sectPr>
          <w:pgSz w:w="11907" w:h="16840"/>
          <w:pgMar w:top="1134" w:right="1191" w:bottom="1134" w:left="1304" w:header="964" w:footer="992" w:gutter="0"/>
          <w:pgNumType w:fmt="decimal"/>
          <w:cols w:space="720" w:num="1"/>
          <w:docGrid w:linePitch="312" w:charSpace="0"/>
        </w:sectPr>
      </w:pPr>
    </w:p>
    <w:p>
      <w:pPr>
        <w:pStyle w:val="2"/>
        <w:jc w:val="center"/>
        <w:rPr>
          <w:rFonts w:hint="eastAsia" w:ascii="微软雅黑" w:hAnsi="微软雅黑" w:eastAsia="微软雅黑" w:cs="微软雅黑"/>
          <w:b/>
          <w:color w:val="auto"/>
          <w:sz w:val="36"/>
          <w:szCs w:val="36"/>
        </w:rPr>
      </w:pPr>
      <w:bookmarkStart w:id="124" w:name="_Hlt41879464"/>
      <w:bookmarkEnd w:id="124"/>
      <w:bookmarkStart w:id="125" w:name="_Toc13696"/>
      <w:bookmarkStart w:id="126" w:name="_Toc485108795"/>
      <w:bookmarkStart w:id="127" w:name="_Toc12789072"/>
      <w:r>
        <w:rPr>
          <w:rFonts w:hint="eastAsia" w:ascii="微软雅黑" w:hAnsi="微软雅黑" w:eastAsia="微软雅黑" w:cs="微软雅黑"/>
          <w:b/>
          <w:color w:val="auto"/>
          <w:sz w:val="36"/>
          <w:szCs w:val="36"/>
        </w:rPr>
        <w:t>第六篇  响应文件格式要求</w:t>
      </w:r>
      <w:bookmarkEnd w:id="125"/>
      <w:bookmarkEnd w:id="126"/>
      <w:bookmarkEnd w:id="127"/>
    </w:p>
    <w:p>
      <w:pPr>
        <w:pStyle w:val="3"/>
        <w:spacing w:line="240" w:lineRule="auto"/>
        <w:rPr>
          <w:rFonts w:hint="eastAsia" w:ascii="微软雅黑" w:hAnsi="微软雅黑" w:eastAsia="微软雅黑" w:cs="微软雅黑"/>
          <w:color w:val="auto"/>
          <w:sz w:val="24"/>
          <w:szCs w:val="24"/>
        </w:rPr>
      </w:pPr>
      <w:bookmarkStart w:id="128" w:name="_Toc27382"/>
      <w:r>
        <w:rPr>
          <w:rFonts w:hint="eastAsia" w:ascii="微软雅黑" w:hAnsi="微软雅黑" w:eastAsia="微软雅黑" w:cs="微软雅黑"/>
          <w:color w:val="auto"/>
          <w:sz w:val="24"/>
          <w:szCs w:val="24"/>
        </w:rPr>
        <w:t>一、经济部分</w:t>
      </w:r>
      <w:bookmarkEnd w:id="128"/>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pStyle w:val="3"/>
        <w:spacing w:line="240" w:lineRule="auto"/>
        <w:rPr>
          <w:rFonts w:hint="eastAsia" w:ascii="微软雅黑" w:hAnsi="微软雅黑" w:eastAsia="微软雅黑" w:cs="微软雅黑"/>
          <w:color w:val="auto"/>
          <w:sz w:val="24"/>
          <w:szCs w:val="24"/>
        </w:rPr>
      </w:pPr>
      <w:bookmarkStart w:id="129" w:name="_Toc6305"/>
      <w:r>
        <w:rPr>
          <w:rFonts w:hint="eastAsia" w:ascii="微软雅黑" w:hAnsi="微软雅黑" w:eastAsia="微软雅黑" w:cs="微软雅黑"/>
          <w:color w:val="auto"/>
          <w:sz w:val="24"/>
          <w:szCs w:val="24"/>
        </w:rPr>
        <w:t>二、服务部分</w:t>
      </w:r>
      <w:bookmarkEnd w:id="129"/>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（一）按照“第三篇  项目服务需求”提供相应资料</w:t>
      </w:r>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（二）服务响应偏离表</w:t>
      </w:r>
    </w:p>
    <w:p>
      <w:pPr>
        <w:pStyle w:val="3"/>
        <w:spacing w:line="240" w:lineRule="auto"/>
        <w:rPr>
          <w:rFonts w:hint="eastAsia" w:ascii="微软雅黑" w:hAnsi="微软雅黑" w:eastAsia="微软雅黑" w:cs="微软雅黑"/>
          <w:color w:val="auto"/>
          <w:sz w:val="24"/>
          <w:szCs w:val="24"/>
        </w:rPr>
      </w:pPr>
      <w:bookmarkStart w:id="130" w:name="_Toc7207"/>
      <w:r>
        <w:rPr>
          <w:rFonts w:hint="eastAsia" w:ascii="微软雅黑" w:hAnsi="微软雅黑" w:eastAsia="微软雅黑" w:cs="微软雅黑"/>
          <w:color w:val="auto"/>
          <w:sz w:val="24"/>
          <w:szCs w:val="24"/>
        </w:rPr>
        <w:t>三、商务部分</w:t>
      </w:r>
      <w:bookmarkEnd w:id="130"/>
    </w:p>
    <w:p>
      <w:pPr>
        <w:snapToGrid w:val="0"/>
        <w:spacing w:line="360" w:lineRule="auto"/>
        <w:ind w:firstLine="480" w:firstLineChars="200"/>
        <w:rPr>
          <w:rFonts w:hint="eastAsia" w:ascii="微软雅黑" w:hAnsi="微软雅黑" w:eastAsia="微软雅黑" w:cs="微软雅黑"/>
          <w:color w:val="auto"/>
          <w:sz w:val="24"/>
          <w:szCs w:val="24"/>
        </w:rPr>
      </w:pPr>
      <w:bookmarkStart w:id="131" w:name="_Toc38358147"/>
      <w:bookmarkStart w:id="132" w:name="OLE_LINK11"/>
      <w:bookmarkStart w:id="133" w:name="OLE_LINK10"/>
      <w:r>
        <w:rPr>
          <w:rFonts w:hint="eastAsia" w:ascii="微软雅黑" w:hAnsi="微软雅黑" w:eastAsia="微软雅黑" w:cs="微软雅黑"/>
          <w:color w:val="auto"/>
          <w:sz w:val="24"/>
          <w:szCs w:val="24"/>
        </w:rPr>
        <w:t>（一）按照“第四篇  项目商务需求”提供相应资料</w:t>
      </w:r>
      <w:bookmarkEnd w:id="131"/>
    </w:p>
    <w:p>
      <w:pPr>
        <w:snapToGrid w:val="0"/>
        <w:spacing w:line="360" w:lineRule="auto"/>
        <w:ind w:firstLine="480" w:firstLineChars="200"/>
        <w:rPr>
          <w:rFonts w:hint="eastAsia" w:ascii="微软雅黑" w:hAnsi="微软雅黑" w:eastAsia="微软雅黑" w:cs="微软雅黑"/>
          <w:color w:val="auto"/>
          <w:sz w:val="24"/>
          <w:szCs w:val="24"/>
        </w:rPr>
      </w:pPr>
      <w:r>
        <w:rPr>
          <w:rFonts w:hint="eastAsia" w:ascii="微软雅黑" w:hAnsi="微软雅黑" w:eastAsia="微软雅黑" w:cs="微软雅黑"/>
          <w:color w:val="auto"/>
          <w:sz w:val="24"/>
          <w:szCs w:val="24"/>
        </w:rPr>
        <w:t>（二）商务响应偏离表</w:t>
      </w:r>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w:t>
      </w:r>
    </w:p>
    <w:p>
      <w:pPr>
        <w:pStyle w:val="3"/>
        <w:spacing w:line="240" w:lineRule="auto"/>
        <w:rPr>
          <w:rFonts w:hint="eastAsia" w:ascii="微软雅黑" w:hAnsi="微软雅黑" w:eastAsia="微软雅黑" w:cs="微软雅黑"/>
          <w:color w:val="auto"/>
          <w:sz w:val="24"/>
          <w:szCs w:val="24"/>
        </w:rPr>
      </w:pPr>
      <w:bookmarkStart w:id="134" w:name="_Toc18417"/>
      <w:r>
        <w:rPr>
          <w:rFonts w:hint="eastAsia" w:ascii="微软雅黑" w:hAnsi="微软雅黑" w:eastAsia="微软雅黑" w:cs="微软雅黑"/>
          <w:color w:val="auto"/>
          <w:sz w:val="24"/>
          <w:szCs w:val="24"/>
        </w:rPr>
        <w:t>四、资格条件及其他</w:t>
      </w:r>
      <w:bookmarkEnd w:id="134"/>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（一）营业执照（副本）或事业单位法人证书（副本）复印件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（二）组织机构代码证复印件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说明：供应商按“三证合一”登记制度办理营业执照的，组织机构代码证和税务登记证以供应商所提供的法人营业执照（副本）复印件为准。</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（三）法定代表人身份证明书（格式）</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（四）法定代表人授权委托书（格式）</w:t>
      </w:r>
    </w:p>
    <w:p>
      <w:pPr>
        <w:snapToGrid w:val="0"/>
        <w:spacing w:line="400" w:lineRule="exact"/>
        <w:ind w:firstLine="480" w:firstLineChars="200"/>
        <w:rPr>
          <w:rFonts w:ascii="方正仿宋_GBK" w:hAnsi="宋体" w:eastAsia="方正仿宋_GBK" w:cs="Times New Roman"/>
          <w:color w:val="auto"/>
          <w:sz w:val="24"/>
          <w:szCs w:val="24"/>
          <w:highlight w:val="yellow"/>
        </w:rPr>
      </w:pPr>
      <w:r>
        <w:rPr>
          <w:rFonts w:hint="eastAsia" w:ascii="方正仿宋_GBK" w:hAnsi="宋体" w:eastAsia="方正仿宋_GBK" w:cs="Times New Roman"/>
          <w:color w:val="auto"/>
          <w:sz w:val="24"/>
          <w:szCs w:val="24"/>
        </w:rPr>
        <w:t>（五）202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（六）书面声明（格式）</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（七）税务登记证（副本）复印件</w:t>
      </w:r>
    </w:p>
    <w:p>
      <w:pPr>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说明：供应商按“多证合一”登记制度办理营业执照的，组织机构代码证、税务登记证（副本）和社会保险登记证以供应商所提供的营业执照（副本）复印件为准。</w:t>
      </w:r>
    </w:p>
    <w:p>
      <w:pPr>
        <w:snapToGrid w:val="0"/>
        <w:spacing w:line="400" w:lineRule="exact"/>
        <w:ind w:firstLine="480" w:firstLineChars="200"/>
        <w:rPr>
          <w:rFonts w:ascii="仿宋" w:hAnsi="仿宋" w:eastAsia="仿宋" w:cs="仿宋"/>
          <w:color w:val="auto"/>
          <w:sz w:val="24"/>
          <w:szCs w:val="24"/>
        </w:rPr>
      </w:pPr>
      <w:r>
        <w:rPr>
          <w:rFonts w:hint="eastAsia" w:ascii="方正仿宋_GBK" w:hAnsi="宋体" w:eastAsia="方正仿宋_GBK" w:cs="Times New Roman"/>
          <w:color w:val="auto"/>
          <w:sz w:val="24"/>
          <w:szCs w:val="24"/>
        </w:rPr>
        <w:t>（九）特定资格条件证书或证明文件</w:t>
      </w:r>
      <w:r>
        <w:rPr>
          <w:rFonts w:hint="eastAsia" w:ascii="仿宋" w:hAnsi="仿宋" w:eastAsia="仿宋" w:cs="仿宋"/>
          <w:color w:val="auto"/>
          <w:sz w:val="24"/>
          <w:szCs w:val="24"/>
        </w:rPr>
        <w:t>（如果有）</w:t>
      </w:r>
    </w:p>
    <w:p>
      <w:pPr>
        <w:snapToGrid w:val="0"/>
        <w:spacing w:line="4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olor w:val="auto"/>
          <w:sz w:val="24"/>
          <w:szCs w:val="24"/>
        </w:rPr>
        <w:t>（十）供应商提供 “信用中国”网站(www.creditchina.gov.cn)、"中国政府采购网"(www.ccgp.gov.cn)等渠道查询供应商信用记录的四张截图：信用中国--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--严重失信主体名单查询</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--政府采购严重违法失信行为记录名单</w:t>
      </w:r>
      <w:r>
        <w:rPr>
          <w:rFonts w:hint="eastAsia" w:ascii="方正仿宋_GBK" w:hAnsi="宋体" w:eastAsia="方正仿宋_GBK"/>
          <w:color w:val="auto"/>
          <w:sz w:val="24"/>
          <w:szCs w:val="24"/>
        </w:rPr>
        <w:t>；信用中国--</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--税收违法黑名单</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信用中国</w:t>
      </w: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eastAsia="zh-CN"/>
        </w:rPr>
        <w:t>信用服务</w:t>
      </w:r>
      <w:r>
        <w:rPr>
          <w:rFonts w:hint="eastAsia" w:ascii="方正仿宋_GBK" w:hAnsi="宋体" w:eastAsia="方正仿宋_GBK"/>
          <w:color w:val="auto"/>
          <w:sz w:val="24"/>
          <w:szCs w:val="24"/>
          <w:lang w:val="en-US" w:eastAsia="zh-CN"/>
        </w:rPr>
        <w:t>--失信被执行人</w:t>
      </w:r>
      <w:r>
        <w:rPr>
          <w:rFonts w:hint="eastAsia" w:ascii="方正仿宋_GBK" w:hAnsi="宋体" w:eastAsia="方正仿宋_GBK"/>
          <w:color w:val="auto"/>
          <w:sz w:val="24"/>
          <w:szCs w:val="24"/>
        </w:rPr>
        <w:t>（截图模板见第</w:t>
      </w:r>
      <w:r>
        <w:rPr>
          <w:rFonts w:hint="eastAsia" w:ascii="方正仿宋_GBK" w:hAnsi="宋体" w:eastAsia="方正仿宋_GBK"/>
          <w:color w:val="auto"/>
          <w:sz w:val="24"/>
          <w:szCs w:val="24"/>
          <w:lang w:eastAsia="zh-CN"/>
        </w:rPr>
        <w:t>六</w:t>
      </w:r>
      <w:r>
        <w:rPr>
          <w:rFonts w:hint="eastAsia" w:ascii="方正仿宋_GBK" w:hAnsi="宋体" w:eastAsia="方正仿宋_GBK"/>
          <w:color w:val="auto"/>
          <w:sz w:val="24"/>
          <w:szCs w:val="24"/>
        </w:rPr>
        <w:t>篇后附件模板）。</w:t>
      </w:r>
    </w:p>
    <w:p>
      <w:pPr>
        <w:pStyle w:val="3"/>
        <w:spacing w:line="240" w:lineRule="auto"/>
        <w:rPr>
          <w:rFonts w:hint="eastAsia" w:ascii="微软雅黑" w:hAnsi="微软雅黑" w:eastAsia="微软雅黑" w:cs="微软雅黑"/>
          <w:color w:val="auto"/>
          <w:sz w:val="24"/>
          <w:szCs w:val="24"/>
        </w:rPr>
      </w:pPr>
      <w:bookmarkStart w:id="135" w:name="_Toc19884"/>
      <w:r>
        <w:rPr>
          <w:rFonts w:hint="eastAsia" w:ascii="微软雅黑" w:hAnsi="微软雅黑" w:eastAsia="微软雅黑" w:cs="微软雅黑"/>
          <w:color w:val="auto"/>
          <w:sz w:val="24"/>
          <w:szCs w:val="24"/>
        </w:rPr>
        <w:t>五、其他应提供的资料</w:t>
      </w:r>
      <w:bookmarkEnd w:id="135"/>
    </w:p>
    <w:p>
      <w:pPr>
        <w:spacing w:line="44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（一）其他资料</w:t>
      </w:r>
    </w:p>
    <w:bookmarkEnd w:id="132"/>
    <w:bookmarkEnd w:id="133"/>
    <w:p>
      <w:pPr>
        <w:spacing w:line="440" w:lineRule="exact"/>
        <w:ind w:firstLine="720" w:firstLineChars="3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1.其他与项目有关的资料</w:t>
      </w:r>
    </w:p>
    <w:p>
      <w:pPr>
        <w:snapToGrid w:val="0"/>
        <w:spacing w:line="360" w:lineRule="auto"/>
        <w:rPr>
          <w:rFonts w:ascii="宋体" w:hAnsi="宋体" w:eastAsia="宋体" w:cs="Times New Roman"/>
          <w:color w:val="auto"/>
          <w:sz w:val="24"/>
          <w:szCs w:val="24"/>
          <w:bdr w:val="single" w:color="auto" w:sz="4" w:space="0"/>
        </w:rPr>
        <w:sectPr>
          <w:pgSz w:w="11907" w:h="16840"/>
          <w:pgMar w:top="1134" w:right="1191" w:bottom="1134" w:left="1304" w:header="851" w:footer="992" w:gutter="0"/>
          <w:pgNumType w:fmt="decimal"/>
          <w:cols w:space="720" w:num="1"/>
          <w:docGrid w:linePitch="380" w:charSpace="-5735"/>
        </w:sectPr>
      </w:pPr>
    </w:p>
    <w:p>
      <w:pPr>
        <w:pStyle w:val="180"/>
        <w:numPr>
          <w:ilvl w:val="0"/>
          <w:numId w:val="14"/>
        </w:numPr>
        <w:ind w:firstLineChars="0"/>
        <w:rPr>
          <w:rFonts w:hint="eastAsia"/>
          <w:b/>
          <w:color w:val="auto"/>
        </w:rPr>
      </w:pPr>
      <w:bookmarkStart w:id="136" w:name="_Toc313888360"/>
      <w:bookmarkStart w:id="137" w:name="_Toc313008356"/>
      <w:bookmarkStart w:id="138" w:name="_Toc342913419"/>
      <w:bookmarkStart w:id="139" w:name="_Toc485108796"/>
      <w:bookmarkStart w:id="140" w:name="_Toc480979018"/>
      <w:bookmarkStart w:id="141" w:name="_Toc283382454"/>
      <w:bookmarkStart w:id="142" w:name="_Toc12789073"/>
      <w:r>
        <w:rPr>
          <w:rFonts w:hint="eastAsia"/>
          <w:b/>
          <w:color w:val="auto"/>
        </w:rPr>
        <w:t>经济部分</w:t>
      </w:r>
      <w:bookmarkEnd w:id="136"/>
      <w:bookmarkEnd w:id="137"/>
      <w:bookmarkEnd w:id="138"/>
      <w:bookmarkEnd w:id="139"/>
      <w:bookmarkEnd w:id="140"/>
    </w:p>
    <w:p>
      <w:pPr>
        <w:pStyle w:val="180"/>
        <w:ind w:left="450" w:firstLine="0" w:firstLineChars="0"/>
        <w:rPr>
          <w:b/>
          <w:color w:val="auto"/>
        </w:rPr>
      </w:pPr>
    </w:p>
    <w:bookmarkEnd w:id="141"/>
    <w:bookmarkEnd w:id="142"/>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（一）比选报价函</w:t>
      </w:r>
    </w:p>
    <w:p>
      <w:pPr>
        <w:tabs>
          <w:tab w:val="left" w:pos="6300"/>
        </w:tabs>
        <w:snapToGrid w:val="0"/>
        <w:spacing w:line="480" w:lineRule="exact"/>
        <w:jc w:val="center"/>
        <w:outlineLvl w:val="0"/>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比选报价函</w:t>
      </w:r>
    </w:p>
    <w:p>
      <w:pPr>
        <w:tabs>
          <w:tab w:val="left" w:pos="6300"/>
        </w:tabs>
        <w:snapToGrid w:val="0"/>
        <w:spacing w:line="312" w:lineRule="auto"/>
        <w:rPr>
          <w:rFonts w:ascii="方正仿宋_GBK" w:hAnsi="宋体" w:eastAsia="方正仿宋_GBK" w:cs="Times New Roman"/>
          <w:color w:val="auto"/>
          <w:sz w:val="24"/>
          <w:szCs w:val="24"/>
        </w:rPr>
      </w:pP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4"/>
        </w:rPr>
        <w:t>：</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1、愿意按照比选文件中的一切要求，提供本项目的技术服务、商务需求，初始报价以</w:t>
      </w:r>
      <w:r>
        <w:rPr>
          <w:rFonts w:hint="eastAsia" w:ascii="方正仿宋_GBK" w:hAnsi="宋体" w:eastAsia="方正仿宋_GBK" w:cs="Times New Roman"/>
          <w:color w:val="auto"/>
          <w:sz w:val="24"/>
          <w:szCs w:val="24"/>
          <w:lang w:eastAsia="zh-CN"/>
        </w:rPr>
        <w:t>（二）明细报价表</w:t>
      </w:r>
      <w:r>
        <w:rPr>
          <w:rFonts w:hint="eastAsia" w:ascii="方正仿宋_GBK" w:hAnsi="宋体" w:eastAsia="方正仿宋_GBK" w:cs="Times New Roman"/>
          <w:color w:val="auto"/>
          <w:sz w:val="24"/>
          <w:szCs w:val="24"/>
        </w:rPr>
        <w:t>为准。</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2、我方现提交的响应文件为：响应文件正本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份，副本</w:t>
      </w:r>
      <w:r>
        <w:rPr>
          <w:rFonts w:hint="eastAsia" w:ascii="方正仿宋_GBK" w:hAnsi="宋体" w:eastAsia="方正仿宋_GBK" w:cs="Times New Roman"/>
          <w:color w:val="auto"/>
          <w:sz w:val="24"/>
          <w:szCs w:val="24"/>
          <w:u w:val="single"/>
        </w:rPr>
        <w:t xml:space="preserve">   </w:t>
      </w:r>
      <w:r>
        <w:rPr>
          <w:rFonts w:hint="eastAsia" w:ascii="方正仿宋_GBK" w:hAnsi="宋体" w:eastAsia="方正仿宋_GBK" w:cs="Times New Roman"/>
          <w:color w:val="auto"/>
          <w:sz w:val="24"/>
          <w:szCs w:val="24"/>
        </w:rPr>
        <w:t>份。</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3、我方承诺：本次比选的有效期为90天。</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4、我方完全理解和接受贵方比选文件的一切规定和要求及比选评审办法。</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7、我方未为采购项目提供整体设计、规范编制或者项目管理、监理、监测等服务。</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供应商（公章）：</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 xml:space="preserve">地址：  </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电话：                           传真：</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网址：                           邮编：</w:t>
      </w:r>
    </w:p>
    <w:p>
      <w:pPr>
        <w:tabs>
          <w:tab w:val="left" w:pos="6300"/>
        </w:tabs>
        <w:snapToGrid w:val="0"/>
        <w:spacing w:line="360" w:lineRule="auto"/>
        <w:ind w:firstLine="57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联系人：</w:t>
      </w:r>
    </w:p>
    <w:p>
      <w:pPr>
        <w:snapToGrid w:val="0"/>
        <w:spacing w:line="360" w:lineRule="auto"/>
        <w:ind w:firstLine="480" w:firstLineChars="200"/>
        <w:rPr>
          <w:rFonts w:ascii="方正仿宋_GBK" w:hAnsi="宋体" w:eastAsia="方正仿宋_GBK" w:cs="Times New Roman"/>
          <w:color w:val="auto"/>
          <w:sz w:val="24"/>
          <w:szCs w:val="24"/>
        </w:rPr>
        <w:sectPr>
          <w:pgSz w:w="11907" w:h="16840"/>
          <w:pgMar w:top="1134" w:right="1191" w:bottom="1134" w:left="1304" w:header="851" w:footer="992" w:gutter="0"/>
          <w:pgNumType w:fmt="decimal"/>
          <w:cols w:space="720" w:num="1"/>
          <w:docGrid w:linePitch="380" w:charSpace="-5735"/>
        </w:sectPr>
      </w:pPr>
      <w:r>
        <w:rPr>
          <w:rFonts w:hint="eastAsia" w:ascii="方正仿宋_GBK" w:hAnsi="宋体" w:eastAsia="方正仿宋_GBK" w:cs="Times New Roman"/>
          <w:color w:val="auto"/>
          <w:sz w:val="24"/>
          <w:szCs w:val="24"/>
        </w:rPr>
        <w:t xml:space="preserve">                               年   月   日</w:t>
      </w:r>
    </w:p>
    <w:p>
      <w:pPr>
        <w:tabs>
          <w:tab w:val="left" w:pos="2895"/>
        </w:tabs>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（二）明细报价表</w:t>
      </w:r>
    </w:p>
    <w:p>
      <w:pPr>
        <w:tabs>
          <w:tab w:val="left" w:pos="6300"/>
        </w:tabs>
        <w:snapToGrid w:val="0"/>
        <w:spacing w:line="360" w:lineRule="auto"/>
        <w:jc w:val="center"/>
        <w:rPr>
          <w:rFonts w:hint="eastAsia" w:ascii="方正仿宋_GBK" w:hAnsi="宋体" w:eastAsia="方正仿宋_GBK" w:cs="Times New Roman"/>
          <w:color w:val="FF0000"/>
          <w:sz w:val="24"/>
          <w:szCs w:val="24"/>
        </w:rPr>
      </w:pPr>
      <w:bookmarkStart w:id="143" w:name="_Toc480979019"/>
      <w:bookmarkStart w:id="144" w:name="_Toc485108797"/>
      <w:bookmarkStart w:id="145" w:name="_Toc313888361"/>
      <w:bookmarkStart w:id="146" w:name="_Toc313008357"/>
      <w:bookmarkStart w:id="147" w:name="_Toc342913420"/>
    </w:p>
    <w:p>
      <w:pPr>
        <w:pStyle w:val="51"/>
        <w:spacing w:beforeAutospacing="0" w:afterAutospacing="0" w:line="480" w:lineRule="exact"/>
        <w:jc w:val="center"/>
        <w:rPr>
          <w:rFonts w:cs="MS Shell Dlg"/>
          <w:color w:val="000000" w:themeColor="text1"/>
          <w:sz w:val="36"/>
          <w:szCs w:val="36"/>
          <w14:textFill>
            <w14:solidFill>
              <w14:schemeClr w14:val="tx1"/>
            </w14:solidFill>
          </w14:textFill>
        </w:rPr>
      </w:pPr>
      <w:r>
        <w:rPr>
          <w:rFonts w:hint="eastAsia" w:cs="MS Shell Dlg"/>
          <w:color w:val="000000" w:themeColor="text1"/>
          <w:sz w:val="36"/>
          <w:szCs w:val="36"/>
          <w14:textFill>
            <w14:solidFill>
              <w14:schemeClr w14:val="tx1"/>
            </w14:solidFill>
          </w14:textFill>
        </w:rPr>
        <w:t>报价表</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2"/>
        <w:gridCol w:w="3827"/>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项目</w:t>
            </w:r>
          </w:p>
        </w:tc>
        <w:tc>
          <w:tcPr>
            <w:tcW w:w="3827" w:type="dxa"/>
            <w:vAlign w:val="center"/>
          </w:tcPr>
          <w:p>
            <w:pPr>
              <w:pStyle w:val="51"/>
              <w:spacing w:beforeAutospacing="0" w:afterAutospacing="0" w:line="480" w:lineRule="auto"/>
              <w:jc w:val="center"/>
              <w:rPr>
                <w:sz w:val="28"/>
                <w:szCs w:val="28"/>
              </w:rPr>
            </w:pPr>
            <w:r>
              <w:rPr>
                <w:rFonts w:hint="eastAsia"/>
                <w:sz w:val="28"/>
                <w:szCs w:val="28"/>
              </w:rPr>
              <w:t>回收价格（元/月）</w:t>
            </w:r>
          </w:p>
        </w:tc>
        <w:tc>
          <w:tcPr>
            <w:tcW w:w="1701" w:type="dxa"/>
            <w:vAlign w:val="center"/>
          </w:tcPr>
          <w:p>
            <w:pPr>
              <w:pStyle w:val="51"/>
              <w:spacing w:beforeAutospacing="0" w:afterAutospacing="0" w:line="480" w:lineRule="auto"/>
              <w:jc w:val="center"/>
              <w:rPr>
                <w:sz w:val="28"/>
                <w:szCs w:val="28"/>
              </w:rPr>
            </w:pPr>
            <w:r>
              <w:rPr>
                <w:rFonts w:hint="eastAsia"/>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2552" w:type="dxa"/>
            <w:vAlign w:val="center"/>
          </w:tcPr>
          <w:p>
            <w:pPr>
              <w:pStyle w:val="51"/>
              <w:spacing w:beforeAutospacing="0" w:afterAutospacing="0" w:line="480" w:lineRule="auto"/>
              <w:jc w:val="center"/>
              <w:rPr>
                <w:sz w:val="28"/>
                <w:szCs w:val="28"/>
              </w:rPr>
            </w:pPr>
            <w:r>
              <w:rPr>
                <w:rFonts w:hint="eastAsia"/>
                <w:sz w:val="28"/>
                <w:szCs w:val="28"/>
              </w:rPr>
              <w:t>可回收垃圾收购处置</w:t>
            </w:r>
          </w:p>
        </w:tc>
        <w:tc>
          <w:tcPr>
            <w:tcW w:w="3827" w:type="dxa"/>
            <w:vAlign w:val="center"/>
          </w:tcPr>
          <w:p>
            <w:pPr>
              <w:pStyle w:val="51"/>
              <w:spacing w:beforeAutospacing="0" w:afterAutospacing="0" w:line="480" w:lineRule="auto"/>
              <w:jc w:val="center"/>
              <w:rPr>
                <w:sz w:val="28"/>
                <w:szCs w:val="28"/>
              </w:rPr>
            </w:pPr>
          </w:p>
        </w:tc>
        <w:tc>
          <w:tcPr>
            <w:tcW w:w="1701" w:type="dxa"/>
            <w:vAlign w:val="center"/>
          </w:tcPr>
          <w:p>
            <w:pPr>
              <w:pStyle w:val="51"/>
              <w:spacing w:beforeAutospacing="0" w:afterAutospacing="0" w:line="480" w:lineRule="auto"/>
              <w:jc w:val="center"/>
              <w:rPr>
                <w:sz w:val="28"/>
                <w:szCs w:val="28"/>
              </w:rPr>
            </w:pPr>
            <w:r>
              <w:rPr>
                <w:rFonts w:hint="eastAsia"/>
                <w:sz w:val="28"/>
                <w:szCs w:val="28"/>
              </w:rPr>
              <w:t>塑料、玻璃</w:t>
            </w:r>
          </w:p>
        </w:tc>
      </w:tr>
    </w:tbl>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rPr>
          <w:rFonts w:hint="eastAsia"/>
          <w:b/>
          <w:color w:val="auto"/>
        </w:rPr>
      </w:pPr>
    </w:p>
    <w:p>
      <w:pPr>
        <w:pStyle w:val="22"/>
        <w:rPr>
          <w:rFonts w:hint="eastAsia"/>
          <w:b/>
          <w:color w:val="auto"/>
        </w:rPr>
      </w:pPr>
    </w:p>
    <w:p>
      <w:pPr>
        <w:pStyle w:val="22"/>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rFonts w:hint="eastAsia"/>
          <w:b/>
          <w:color w:val="auto"/>
        </w:rPr>
      </w:pPr>
    </w:p>
    <w:p>
      <w:pPr>
        <w:rPr>
          <w:b/>
          <w:color w:val="auto"/>
        </w:rPr>
      </w:pPr>
      <w:r>
        <w:rPr>
          <w:rFonts w:hint="eastAsia"/>
          <w:b/>
          <w:color w:val="auto"/>
        </w:rPr>
        <w:t>二、服务部分</w:t>
      </w:r>
      <w:bookmarkEnd w:id="143"/>
      <w:bookmarkEnd w:id="144"/>
      <w:bookmarkEnd w:id="145"/>
      <w:bookmarkEnd w:id="146"/>
      <w:bookmarkEnd w:id="147"/>
    </w:p>
    <w:p>
      <w:pPr>
        <w:snapToGrid w:val="0"/>
        <w:spacing w:line="360" w:lineRule="auto"/>
        <w:ind w:firstLine="560" w:firstLineChars="200"/>
        <w:rPr>
          <w:rFonts w:ascii="方正仿宋_GBK" w:hAnsi="宋体" w:eastAsia="方正仿宋_GBK" w:cs="Times New Roman"/>
          <w:color w:val="auto"/>
          <w:sz w:val="28"/>
          <w:szCs w:val="28"/>
        </w:rPr>
      </w:pPr>
      <w:r>
        <w:rPr>
          <w:rFonts w:hint="eastAsia" w:ascii="方正仿宋_GBK" w:hAnsi="宋体" w:eastAsia="方正仿宋_GBK" w:cs="Times New Roman"/>
          <w:color w:val="auto"/>
          <w:sz w:val="28"/>
          <w:szCs w:val="28"/>
        </w:rPr>
        <w:t>（一）</w:t>
      </w:r>
      <w:r>
        <w:rPr>
          <w:rFonts w:hint="eastAsia" w:ascii="微软雅黑" w:hAnsi="微软雅黑" w:eastAsia="微软雅黑" w:cs="微软雅黑"/>
          <w:color w:val="auto"/>
          <w:sz w:val="28"/>
          <w:szCs w:val="28"/>
        </w:rPr>
        <w:t>按照“第三篇  项目服务需求”提供相应资料</w:t>
      </w:r>
    </w:p>
    <w:p>
      <w:pPr>
        <w:tabs>
          <w:tab w:val="left" w:pos="6300"/>
        </w:tabs>
        <w:snapToGrid w:val="0"/>
        <w:spacing w:line="500" w:lineRule="exact"/>
        <w:ind w:firstLine="570"/>
        <w:rPr>
          <w:rFonts w:ascii="方正仿宋_GBK" w:hAnsi="宋体" w:eastAsia="方正仿宋_GBK" w:cs="Times New Roman"/>
          <w:color w:val="auto"/>
          <w:sz w:val="24"/>
          <w:szCs w:val="24"/>
        </w:rPr>
      </w:pPr>
      <w:r>
        <w:rPr>
          <w:rFonts w:ascii="方正仿宋_GBK" w:hAnsi="宋体" w:eastAsia="方正仿宋_GBK" w:cs="Times New Roman"/>
          <w:color w:val="auto"/>
          <w:sz w:val="28"/>
          <w:szCs w:val="24"/>
        </w:rPr>
        <w:br w:type="page"/>
      </w:r>
      <w:r>
        <w:rPr>
          <w:rFonts w:hint="eastAsia" w:ascii="方正仿宋_GBK" w:hAnsi="宋体" w:eastAsia="方正仿宋_GBK" w:cs="Times New Roman"/>
          <w:color w:val="auto"/>
          <w:sz w:val="24"/>
          <w:szCs w:val="24"/>
        </w:rPr>
        <w:t>（二）服务响应偏离表</w:t>
      </w:r>
    </w:p>
    <w:p>
      <w:pPr>
        <w:tabs>
          <w:tab w:val="left" w:pos="6300"/>
        </w:tabs>
        <w:snapToGrid w:val="0"/>
        <w:spacing w:line="500" w:lineRule="exact"/>
        <w:ind w:firstLine="480" w:firstLineChars="200"/>
        <w:outlineLvl w:val="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p>
    <w:tbl>
      <w:tblPr>
        <w:tblStyle w:val="5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序号</w:t>
            </w: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采购需求</w:t>
            </w: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响应情况</w:t>
            </w: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r>
              <w:rPr>
                <w:rFonts w:hint="eastAsia" w:ascii="方正仿宋_GBK" w:hAnsi="宋体" w:eastAsia="方正仿宋_GBK" w:cs="Times New Roman"/>
                <w:color w:val="auto"/>
                <w:szCs w:val="21"/>
              </w:rPr>
              <w:t>差异说明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658"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759"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c>
          <w:tcPr>
            <w:tcW w:w="2067" w:type="dxa"/>
            <w:vAlign w:val="center"/>
          </w:tcPr>
          <w:p>
            <w:pPr>
              <w:tabs>
                <w:tab w:val="left" w:pos="6300"/>
              </w:tabs>
              <w:snapToGrid w:val="0"/>
              <w:spacing w:line="500" w:lineRule="exact"/>
              <w:jc w:val="center"/>
              <w:outlineLvl w:val="0"/>
              <w:rPr>
                <w:rFonts w:ascii="方正仿宋_GBK" w:hAnsi="宋体" w:eastAsia="方正仿宋_GBK" w:cs="Times New Roman"/>
                <w:color w:val="auto"/>
                <w:szCs w:val="21"/>
              </w:rPr>
            </w:pPr>
          </w:p>
        </w:tc>
      </w:tr>
    </w:tbl>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720" w:firstLineChars="3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.本表即为对本项目“第三篇  项目服务需求”中所列技术要求进行比较和响应；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4.可附相关技术支撑材料。（格式自定）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0"/>
        </w:rPr>
        <w:t>5.</w:t>
      </w:r>
      <w:r>
        <w:rPr>
          <w:rFonts w:hint="eastAsia" w:ascii="方正仿宋_GBK" w:hAnsi="宋体" w:eastAsia="方正仿宋_GBK" w:cs="Times New Roman"/>
          <w:b/>
          <w:bCs/>
          <w:color w:val="auto"/>
          <w:sz w:val="24"/>
          <w:szCs w:val="20"/>
        </w:rPr>
        <w:t>若“响应情况”栏中仅填写“无偏离”或“有偏离”等内容而未作实质性参数描述，该供应商将</w:t>
      </w:r>
      <w:r>
        <w:rPr>
          <w:rFonts w:hint="eastAsia" w:ascii="方正仿宋_GBK" w:hAnsi="宋体" w:eastAsia="方正仿宋_GBK" w:cs="Times New Roman"/>
          <w:b/>
          <w:bCs/>
          <w:color w:val="auto"/>
          <w:sz w:val="24"/>
          <w:szCs w:val="24"/>
        </w:rPr>
        <w:t>失去成为成交供应商的资格，仅保留其合格供应商的身份。</w:t>
      </w:r>
    </w:p>
    <w:p>
      <w:pPr>
        <w:rPr>
          <w:b/>
          <w:color w:val="auto"/>
        </w:rPr>
      </w:pPr>
      <w:r>
        <w:rPr>
          <w:rFonts w:hAnsi="Times New Roman"/>
          <w:color w:val="auto"/>
          <w:sz w:val="32"/>
          <w:szCs w:val="20"/>
        </w:rPr>
        <w:br w:type="page"/>
      </w:r>
      <w:bookmarkStart w:id="148" w:name="_Toc485108798"/>
      <w:bookmarkStart w:id="149" w:name="_Toc480979020"/>
      <w:bookmarkStart w:id="150" w:name="_Toc313008358"/>
      <w:bookmarkStart w:id="151" w:name="_Toc313888362"/>
      <w:bookmarkStart w:id="152" w:name="_Toc342913421"/>
      <w:r>
        <w:rPr>
          <w:rFonts w:hint="eastAsia"/>
          <w:b/>
          <w:color w:val="auto"/>
        </w:rPr>
        <w:t>三、商务部分</w:t>
      </w:r>
      <w:bookmarkEnd w:id="148"/>
      <w:bookmarkEnd w:id="149"/>
      <w:bookmarkEnd w:id="150"/>
      <w:bookmarkEnd w:id="151"/>
      <w:bookmarkEnd w:id="152"/>
    </w:p>
    <w:p>
      <w:pPr>
        <w:spacing w:line="360" w:lineRule="auto"/>
        <w:ind w:firstLine="480" w:firstLineChars="200"/>
        <w:rPr>
          <w:rFonts w:hint="eastAsia" w:ascii="微软雅黑" w:hAnsi="微软雅黑" w:eastAsia="微软雅黑" w:cs="微软雅黑"/>
          <w:color w:val="auto"/>
          <w:sz w:val="28"/>
          <w:szCs w:val="28"/>
        </w:rPr>
      </w:pPr>
      <w:r>
        <w:rPr>
          <w:rFonts w:hint="eastAsia" w:ascii="方正仿宋_GBK" w:hAnsi="宋体" w:eastAsia="方正仿宋_GBK" w:cs="Times New Roman"/>
          <w:color w:val="auto"/>
          <w:sz w:val="24"/>
          <w:szCs w:val="24"/>
        </w:rPr>
        <w:t>（一）</w:t>
      </w:r>
      <w:r>
        <w:rPr>
          <w:rFonts w:hint="eastAsia" w:ascii="微软雅黑" w:hAnsi="微软雅黑" w:eastAsia="微软雅黑" w:cs="微软雅黑"/>
          <w:color w:val="auto"/>
          <w:sz w:val="28"/>
          <w:szCs w:val="28"/>
        </w:rPr>
        <w:t>按照“第四篇  项目商务需求”提供相应资料</w:t>
      </w:r>
    </w:p>
    <w:p>
      <w:pPr>
        <w:snapToGrid w:val="0"/>
        <w:spacing w:line="360" w:lineRule="auto"/>
        <w:ind w:firstLine="562" w:firstLineChars="200"/>
        <w:rPr>
          <w:rFonts w:ascii="方正仿宋_GBK" w:hAnsi="Times New Roman" w:eastAsia="方正仿宋_GBK" w:cs="Times New Roman"/>
          <w:b/>
          <w:color w:val="auto"/>
          <w:sz w:val="28"/>
          <w:szCs w:val="20"/>
        </w:rPr>
        <w:sectPr>
          <w:headerReference r:id="rId9"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bookmarkStart w:id="153" w:name="_Toc283382459"/>
      <w:r>
        <w:rPr>
          <w:rFonts w:hint="eastAsia" w:ascii="方正仿宋_GBK" w:hAnsi="宋体" w:eastAsia="方正仿宋_GBK" w:cs="Times New Roman"/>
          <w:color w:val="auto"/>
          <w:sz w:val="24"/>
          <w:szCs w:val="24"/>
        </w:rPr>
        <w:t>（二）商务响应偏离表</w:t>
      </w:r>
    </w:p>
    <w:p>
      <w:pPr>
        <w:snapToGrid w:val="0"/>
        <w:spacing w:line="360" w:lineRule="auto"/>
        <w:jc w:val="center"/>
        <w:rPr>
          <w:rFonts w:ascii="方正仿宋_GBK" w:hAnsi="宋体" w:eastAsia="方正仿宋_GBK" w:cs="Times New Roman"/>
          <w:b/>
          <w:color w:val="auto"/>
          <w:sz w:val="28"/>
          <w:szCs w:val="28"/>
        </w:rPr>
      </w:pPr>
      <w:r>
        <w:rPr>
          <w:rFonts w:hint="eastAsia" w:ascii="方正仿宋_GBK" w:hAnsi="宋体" w:eastAsia="方正仿宋_GBK" w:cs="Times New Roman"/>
          <w:b/>
          <w:color w:val="auto"/>
          <w:sz w:val="28"/>
          <w:szCs w:val="28"/>
        </w:rPr>
        <w:t>商务响应偏离表</w:t>
      </w:r>
    </w:p>
    <w:p>
      <w:pPr>
        <w:snapToGrid w:val="0"/>
        <w:spacing w:line="500" w:lineRule="exact"/>
        <w:ind w:firstLine="48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项目名称：</w:t>
      </w:r>
    </w:p>
    <w:p>
      <w:pPr>
        <w:snapToGrid w:val="0"/>
        <w:spacing w:line="360" w:lineRule="auto"/>
        <w:ind w:firstLine="465"/>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对于比选文件的商务要求，如有任何偏离请如实填写下表：</w:t>
      </w:r>
    </w:p>
    <w:tbl>
      <w:tblPr>
        <w:tblStyle w:val="5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序号</w:t>
            </w: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比选项目需求</w:t>
            </w: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响应情况</w:t>
            </w: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r>
              <w:rPr>
                <w:rFonts w:hint="eastAsia" w:ascii="方正仿宋_GBK" w:hAnsi="宋体" w:eastAsia="方正仿宋_GBK" w:cs="Times New Roman"/>
                <w:color w:val="auto"/>
                <w:szCs w:val="24"/>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3179"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434"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c>
          <w:tcPr>
            <w:tcW w:w="2355" w:type="dxa"/>
            <w:vAlign w:val="center"/>
          </w:tcPr>
          <w:p>
            <w:pPr>
              <w:tabs>
                <w:tab w:val="left" w:pos="6300"/>
              </w:tabs>
              <w:snapToGrid w:val="0"/>
              <w:spacing w:line="360" w:lineRule="auto"/>
              <w:jc w:val="center"/>
              <w:outlineLvl w:val="0"/>
              <w:rPr>
                <w:rFonts w:ascii="方正仿宋_GBK" w:hAnsi="宋体" w:eastAsia="方正仿宋_GBK" w:cs="Times New Roman"/>
                <w:color w:val="auto"/>
                <w:szCs w:val="24"/>
              </w:rPr>
            </w:pPr>
          </w:p>
        </w:tc>
      </w:tr>
    </w:tbl>
    <w:p>
      <w:pPr>
        <w:snapToGrid w:val="0"/>
        <w:spacing w:line="360" w:lineRule="auto"/>
        <w:ind w:firstLine="465"/>
        <w:rPr>
          <w:rFonts w:ascii="方正仿宋_GBK" w:hAnsi="宋体" w:eastAsia="方正仿宋_GBK" w:cs="Times New Roman"/>
          <w:color w:val="auto"/>
          <w:sz w:val="24"/>
          <w:szCs w:val="24"/>
        </w:rPr>
      </w:pPr>
    </w:p>
    <w:p>
      <w:pPr>
        <w:spacing w:line="500" w:lineRule="exact"/>
        <w:ind w:firstLine="600" w:firstLineChars="2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                                      法定代表人授权代表：</w:t>
      </w:r>
    </w:p>
    <w:p>
      <w:pPr>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 xml:space="preserve">    </w:t>
      </w:r>
    </w:p>
    <w:p>
      <w:pPr>
        <w:spacing w:line="500" w:lineRule="exact"/>
        <w:ind w:firstLine="360" w:firstLineChars="15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                                 （签字或盖章）</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 xml:space="preserve">                                            年     月     日</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注：</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4"/>
        </w:rPr>
        <w:t>1</w:t>
      </w:r>
      <w:r>
        <w:rPr>
          <w:rFonts w:hint="eastAsia" w:ascii="方正仿宋_GBK" w:hAnsi="宋体" w:eastAsia="方正仿宋_GBK" w:cs="Times New Roman"/>
          <w:color w:val="auto"/>
          <w:sz w:val="24"/>
          <w:szCs w:val="20"/>
        </w:rPr>
        <w:t>.本表即为对本项目“第四篇 项目商务需求”中所列服务要求进行比较和响应；</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3.该表可扩展</w:t>
      </w:r>
      <w:r>
        <w:rPr>
          <w:rFonts w:hint="eastAsia" w:ascii="方正仿宋_GBK" w:hAnsi="宋体" w:eastAsia="方正仿宋_GBK" w:cs="Times New Roman"/>
          <w:color w:val="auto"/>
          <w:sz w:val="24"/>
          <w:szCs w:val="28"/>
        </w:rPr>
        <w:t>，并逐页签字或盖章</w:t>
      </w:r>
      <w:r>
        <w:rPr>
          <w:rFonts w:hint="eastAsia" w:ascii="方正仿宋_GBK" w:hAnsi="宋体" w:eastAsia="方正仿宋_GBK" w:cs="Times New Roman"/>
          <w:color w:val="auto"/>
          <w:sz w:val="24"/>
          <w:szCs w:val="20"/>
        </w:rPr>
        <w:t>；</w:t>
      </w:r>
    </w:p>
    <w:p>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0" w:firstLineChars="200"/>
        <w:textAlignment w:val="auto"/>
        <w:rPr>
          <w:rFonts w:hint="eastAsia" w:ascii="微软雅黑" w:hAnsi="微软雅黑" w:eastAsia="微软雅黑" w:cs="微软雅黑"/>
          <w:b/>
          <w:bCs/>
          <w:color w:val="auto"/>
          <w:sz w:val="24"/>
          <w:szCs w:val="28"/>
        </w:rPr>
      </w:pPr>
      <w:r>
        <w:rPr>
          <w:rFonts w:hint="eastAsia" w:ascii="微软雅黑" w:hAnsi="微软雅黑" w:eastAsia="微软雅黑" w:cs="微软雅黑"/>
          <w:b/>
          <w:bCs/>
          <w:color w:val="auto"/>
          <w:sz w:val="24"/>
          <w:szCs w:val="24"/>
        </w:rPr>
        <w:t>4.</w:t>
      </w:r>
      <w:r>
        <w:rPr>
          <w:rFonts w:hint="eastAsia" w:ascii="微软雅黑" w:hAnsi="微软雅黑" w:eastAsia="微软雅黑" w:cs="微软雅黑"/>
          <w:b/>
          <w:bCs/>
          <w:color w:val="auto"/>
          <w:sz w:val="24"/>
          <w:szCs w:val="28"/>
        </w:rPr>
        <w:t xml:space="preserve">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方正仿宋_GBK" w:hAnsi="宋体" w:eastAsia="方正仿宋_GBK" w:cs="Times New Roman"/>
          <w:color w:val="auto"/>
          <w:sz w:val="24"/>
          <w:szCs w:val="24"/>
        </w:rPr>
        <w:sectPr>
          <w:headerReference r:id="rId10" w:type="default"/>
          <w:pgSz w:w="11907" w:h="16840"/>
          <w:pgMar w:top="1134" w:right="1191" w:bottom="1134" w:left="1304" w:header="851" w:footer="992" w:gutter="0"/>
          <w:pgNumType w:fmt="decimal"/>
          <w:cols w:space="720" w:num="1"/>
          <w:docGrid w:linePitch="380" w:charSpace="-5735"/>
        </w:sectPr>
      </w:pPr>
    </w:p>
    <w:p>
      <w:pPr>
        <w:spacing w:line="360" w:lineRule="auto"/>
        <w:ind w:firstLine="48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（三）其它优惠承诺（格式自定）</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p>
    <w:p>
      <w:pPr>
        <w:spacing w:line="360" w:lineRule="auto"/>
        <w:ind w:firstLine="560" w:firstLineChars="200"/>
        <w:rPr>
          <w:rFonts w:ascii="方正仿宋_GBK" w:hAnsi="宋体" w:eastAsia="方正仿宋_GBK" w:cs="Times New Roman"/>
          <w:color w:val="auto"/>
          <w:sz w:val="24"/>
          <w:szCs w:val="24"/>
        </w:rPr>
      </w:pPr>
      <w:r>
        <w:rPr>
          <w:rFonts w:ascii="Times New Roman" w:hAnsi="Times New Roman" w:eastAsia="宋体" w:cs="Times New Roman"/>
          <w:color w:val="auto"/>
          <w:sz w:val="28"/>
          <w:szCs w:val="20"/>
        </w:rPr>
        <w:br w:type="page"/>
      </w:r>
    </w:p>
    <w:p>
      <w:pPr>
        <w:rPr>
          <w:b/>
          <w:color w:val="auto"/>
        </w:rPr>
      </w:pPr>
      <w:r>
        <w:rPr>
          <w:rFonts w:hint="eastAsia"/>
          <w:b/>
          <w:color w:val="auto"/>
        </w:rPr>
        <w:t>四、资格条件及其他</w:t>
      </w:r>
    </w:p>
    <w:p>
      <w:pPr>
        <w:tabs>
          <w:tab w:val="left" w:pos="6300"/>
        </w:tabs>
        <w:snapToGrid w:val="0"/>
        <w:spacing w:line="500" w:lineRule="exact"/>
        <w:ind w:firstLine="57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（一）</w:t>
      </w:r>
      <w:r>
        <w:rPr>
          <w:rFonts w:hint="eastAsia" w:ascii="方正仿宋_GBK" w:hAnsi="宋体" w:eastAsia="方正仿宋_GBK" w:cs="Times New Roman"/>
          <w:color w:val="auto"/>
          <w:sz w:val="24"/>
          <w:szCs w:val="24"/>
        </w:rPr>
        <w:t>营业执照（</w:t>
      </w:r>
      <w:r>
        <w:rPr>
          <w:rFonts w:hint="eastAsia" w:ascii="微软雅黑" w:hAnsi="微软雅黑" w:eastAsia="微软雅黑" w:cs="微软雅黑"/>
          <w:color w:val="auto"/>
          <w:sz w:val="24"/>
          <w:szCs w:val="24"/>
        </w:rPr>
        <w:t>副本）或事业单位法人证书（副本）复印件或个体工商户营业执照或有效的自然人身份证明或社会团体法人登记证书复印件</w:t>
      </w:r>
    </w:p>
    <w:p>
      <w:pPr>
        <w:keepNext/>
        <w:keepLines/>
        <w:spacing w:line="360" w:lineRule="auto"/>
        <w:outlineLvl w:val="2"/>
        <w:rPr>
          <w:rFonts w:ascii="方正仿宋_GBK" w:hAnsi="宋体" w:eastAsia="方正仿宋_GBK" w:cs="Times New Roman"/>
          <w:color w:val="auto"/>
          <w:sz w:val="28"/>
          <w:szCs w:val="20"/>
        </w:rPr>
      </w:pPr>
      <w:r>
        <w:rPr>
          <w:rFonts w:ascii="方正仿宋_GBK" w:hAnsi="宋体" w:eastAsia="方正仿宋_GBK" w:cs="Times New Roman"/>
          <w:b/>
          <w:color w:val="auto"/>
          <w:sz w:val="24"/>
          <w:szCs w:val="24"/>
        </w:rPr>
        <w:br w:type="page"/>
      </w:r>
      <w:bookmarkEnd w:id="153"/>
      <w:bookmarkStart w:id="154" w:name="_Toc313888363"/>
      <w:bookmarkStart w:id="155" w:name="_Toc313008359"/>
      <w:bookmarkStart w:id="156" w:name="_Toc342913422"/>
    </w:p>
    <w:p>
      <w:pPr>
        <w:snapToGrid w:val="0"/>
        <w:spacing w:line="400" w:lineRule="exact"/>
        <w:ind w:firstLine="560" w:firstLineChars="200"/>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8"/>
          <w:szCs w:val="20"/>
        </w:rPr>
        <w:t>（二）</w:t>
      </w:r>
      <w:r>
        <w:rPr>
          <w:rFonts w:hint="eastAsia" w:ascii="方正仿宋_GBK" w:hAnsi="宋体" w:eastAsia="方正仿宋_GBK" w:cs="Times New Roman"/>
          <w:color w:val="auto"/>
          <w:sz w:val="24"/>
          <w:szCs w:val="24"/>
        </w:rPr>
        <w:t>组织机构代码证复印件</w:t>
      </w:r>
    </w:p>
    <w:p>
      <w:pPr>
        <w:widowControl/>
        <w:ind w:firstLine="560" w:firstLineChars="200"/>
        <w:jc w:val="left"/>
        <w:rPr>
          <w:rFonts w:ascii="方正仿宋_GBK" w:hAnsi="宋体" w:eastAsia="方正仿宋_GBK" w:cs="Times New Roman"/>
          <w:color w:val="auto"/>
          <w:sz w:val="28"/>
          <w:szCs w:val="20"/>
        </w:rPr>
      </w:pPr>
      <w:r>
        <w:rPr>
          <w:rFonts w:ascii="方正仿宋_GBK" w:hAnsi="宋体" w:eastAsia="方正仿宋_GBK" w:cs="Times New Roman"/>
          <w:color w:val="auto"/>
          <w:sz w:val="28"/>
          <w:szCs w:val="20"/>
        </w:rPr>
        <w:br w:type="page"/>
      </w:r>
      <w:bookmarkEnd w:id="154"/>
      <w:bookmarkEnd w:id="155"/>
      <w:bookmarkEnd w:id="156"/>
      <w:r>
        <w:rPr>
          <w:rFonts w:hint="eastAsia" w:ascii="方正仿宋_GBK" w:hAnsi="宋体" w:eastAsia="方正仿宋_GBK" w:cs="Times New Roman"/>
          <w:color w:val="auto"/>
          <w:sz w:val="28"/>
          <w:szCs w:val="20"/>
        </w:rPr>
        <w:t>（三）法定代表人身份证明书（格式）</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项目名称：</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（法定代表人姓名）在</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（供应商名称）任</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（职务名称）职务，是（供应商名称）</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的法定代表人。</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特此证明。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（供应商公章）</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年   月   日</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（附：法定代表人身份证正反面复印件）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p>
    <w:p>
      <w:pPr>
        <w:widowControl/>
        <w:ind w:firstLine="480" w:firstLineChars="200"/>
        <w:jc w:val="left"/>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8"/>
          <w:szCs w:val="20"/>
        </w:rPr>
      </w:pPr>
      <w:r>
        <w:rPr>
          <w:rFonts w:ascii="Times New Roman" w:hAnsi="Times New Roman" w:eastAsia="宋体" w:cs="Times New Roman"/>
          <w:color w:val="auto"/>
          <w:sz w:val="28"/>
          <w:szCs w:val="20"/>
        </w:rPr>
        <w:br w:type="column"/>
      </w:r>
      <w:r>
        <w:rPr>
          <w:rFonts w:hint="eastAsia" w:ascii="方正仿宋_GBK" w:hAnsi="宋体" w:eastAsia="方正仿宋_GBK" w:cs="Times New Roman"/>
          <w:color w:val="auto"/>
          <w:sz w:val="28"/>
          <w:szCs w:val="20"/>
        </w:rPr>
        <w:t>（四）法定代表人授权委托书（格式）</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（供应商法定代表人名称）是</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（供应商名称）的法定代表人，特授权</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我单位对被授权人的签字负全部责任。</w:t>
      </w: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被授权人：                                 供应商法定代表人：</w:t>
      </w:r>
    </w:p>
    <w:p>
      <w:pPr>
        <w:tabs>
          <w:tab w:val="left" w:pos="6300"/>
        </w:tabs>
        <w:snapToGrid w:val="0"/>
        <w:spacing w:line="500" w:lineRule="exact"/>
        <w:ind w:firstLine="57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（签字或盖章）                                （签字或盖章）</w:t>
      </w:r>
    </w:p>
    <w:p>
      <w:pPr>
        <w:tabs>
          <w:tab w:val="left" w:pos="6300"/>
        </w:tabs>
        <w:snapToGrid w:val="0"/>
        <w:spacing w:line="500" w:lineRule="exact"/>
        <w:ind w:firstLine="570"/>
        <w:rPr>
          <w:rFonts w:ascii="方正仿宋_GBK" w:hAnsi="宋体" w:eastAsia="方正仿宋_GBK" w:cs="Times New Roman"/>
          <w:color w:val="auto"/>
          <w:sz w:val="24"/>
          <w:szCs w:val="28"/>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（附：被授权人身份证正反面复印件）</w:t>
      </w:r>
    </w:p>
    <w:p>
      <w:pPr>
        <w:tabs>
          <w:tab w:val="left" w:pos="6300"/>
        </w:tabs>
        <w:snapToGrid w:val="0"/>
        <w:spacing w:line="500" w:lineRule="exact"/>
        <w:ind w:firstLine="57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（供应商公章）</w:t>
      </w:r>
    </w:p>
    <w:p>
      <w:pPr>
        <w:tabs>
          <w:tab w:val="left" w:pos="6300"/>
        </w:tabs>
        <w:snapToGrid w:val="0"/>
        <w:spacing w:line="500" w:lineRule="exact"/>
        <w:ind w:right="480" w:firstLine="570"/>
        <w:jc w:val="right"/>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年   月   日</w:t>
      </w:r>
    </w:p>
    <w:p>
      <w:pPr>
        <w:tabs>
          <w:tab w:val="left" w:pos="6300"/>
        </w:tabs>
        <w:snapToGrid w:val="0"/>
        <w:spacing w:line="500" w:lineRule="exact"/>
        <w:ind w:firstLine="480"/>
        <w:rPr>
          <w:rFonts w:ascii="宋体" w:hAnsi="宋体" w:eastAsia="宋体" w:cs="Times New Roman"/>
          <w:color w:val="auto"/>
          <w:sz w:val="24"/>
          <w:szCs w:val="24"/>
        </w:rPr>
      </w:pPr>
      <w:r>
        <w:rPr>
          <w:rFonts w:ascii="宋体" w:hAnsi="宋体" w:eastAsia="宋体" w:cs="Times New Roman"/>
          <w:color w:val="auto"/>
          <w:sz w:val="28"/>
          <w:szCs w:val="20"/>
        </w:rPr>
        <w:br w:type="column"/>
      </w:r>
      <w:r>
        <w:rPr>
          <w:rFonts w:hint="eastAsia" w:ascii="方正仿宋_GBK" w:hAnsi="宋体" w:eastAsia="方正仿宋_GBK" w:cs="Times New Roman"/>
          <w:color w:val="auto"/>
          <w:sz w:val="28"/>
          <w:szCs w:val="20"/>
        </w:rPr>
        <w:t>（五）</w:t>
      </w:r>
      <w:r>
        <w:rPr>
          <w:rFonts w:hint="eastAsia" w:ascii="方正仿宋_GBK" w:hAnsi="宋体" w:eastAsia="方正仿宋_GBK" w:cs="Times New Roman"/>
          <w:color w:val="auto"/>
          <w:sz w:val="24"/>
          <w:szCs w:val="24"/>
        </w:rPr>
        <w:t>202</w:t>
      </w:r>
      <w:r>
        <w:rPr>
          <w:rFonts w:hint="eastAsia" w:ascii="方正仿宋_GBK" w:hAnsi="宋体" w:eastAsia="方正仿宋_GBK" w:cs="Times New Roman"/>
          <w:color w:val="auto"/>
          <w:sz w:val="24"/>
          <w:szCs w:val="24"/>
          <w:lang w:val="en-US" w:eastAsia="zh-CN"/>
        </w:rPr>
        <w:t>1</w:t>
      </w:r>
      <w:r>
        <w:rPr>
          <w:rFonts w:hint="eastAsia" w:ascii="方正仿宋_GBK" w:hAnsi="宋体" w:eastAsia="方正仿宋_GBK" w:cs="Times New Roman"/>
          <w:color w:val="auto"/>
          <w:sz w:val="24"/>
          <w:szCs w:val="24"/>
        </w:rPr>
        <w:t>或202</w:t>
      </w:r>
      <w:r>
        <w:rPr>
          <w:rFonts w:hint="eastAsia" w:ascii="方正仿宋_GBK" w:hAnsi="宋体" w:eastAsia="方正仿宋_GBK" w:cs="Times New Roman"/>
          <w:color w:val="auto"/>
          <w:sz w:val="24"/>
          <w:szCs w:val="24"/>
          <w:lang w:val="en-US" w:eastAsia="zh-CN"/>
        </w:rPr>
        <w:t>2</w:t>
      </w:r>
      <w:r>
        <w:rPr>
          <w:rFonts w:hint="eastAsia" w:ascii="方正仿宋_GBK" w:hAnsi="宋体" w:eastAsia="方正仿宋_GBK" w:cs="Times New Roman"/>
          <w:color w:val="auto"/>
          <w:sz w:val="24"/>
          <w:szCs w:val="24"/>
        </w:rPr>
        <w:t>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570"/>
        <w:jc w:val="center"/>
        <w:rPr>
          <w:rFonts w:ascii="方正仿宋_GBK" w:hAnsi="宋体" w:eastAsia="方正仿宋_GBK" w:cs="Times New Roman"/>
          <w:color w:val="auto"/>
          <w:sz w:val="28"/>
          <w:szCs w:val="20"/>
        </w:rPr>
      </w:pPr>
    </w:p>
    <w:p>
      <w:pPr>
        <w:tabs>
          <w:tab w:val="left" w:pos="6300"/>
        </w:tabs>
        <w:snapToGrid w:val="0"/>
        <w:spacing w:line="500" w:lineRule="exact"/>
        <w:ind w:firstLine="3220" w:firstLineChars="1150"/>
        <w:rPr>
          <w:rFonts w:hint="eastAsia"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8"/>
          <w:szCs w:val="20"/>
        </w:rPr>
        <w:t>（六）书面声明</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8"/>
        </w:rPr>
        <w:t>项目名称</w:t>
      </w:r>
      <w:r>
        <w:rPr>
          <w:rFonts w:hint="eastAsia" w:ascii="方正仿宋_GBK" w:hAnsi="宋体" w:eastAsia="方正仿宋_GBK" w:cs="Times New Roman"/>
          <w:color w:val="auto"/>
          <w:sz w:val="24"/>
          <w:szCs w:val="20"/>
        </w:rPr>
        <w:t>：</w:t>
      </w:r>
      <w:r>
        <w:rPr>
          <w:rFonts w:hint="eastAsia" w:ascii="方正仿宋_GBK" w:hAnsi="宋体" w:eastAsia="方正仿宋_GBK" w:cs="Times New Roman"/>
          <w:color w:val="auto"/>
          <w:sz w:val="24"/>
          <w:szCs w:val="20"/>
          <w:u w:val="single"/>
        </w:rPr>
        <w:t xml:space="preserve">                                                </w:t>
      </w:r>
    </w:p>
    <w:p>
      <w:pPr>
        <w:tabs>
          <w:tab w:val="left" w:pos="6300"/>
        </w:tabs>
        <w:snapToGrid w:val="0"/>
        <w:spacing w:line="500" w:lineRule="exact"/>
        <w:ind w:firstLine="570"/>
        <w:rPr>
          <w:rFonts w:ascii="方正仿宋_GBK" w:hAnsi="宋体" w:eastAsia="方正仿宋_GBK" w:cs="Times New Roman"/>
          <w:color w:val="auto"/>
          <w:sz w:val="24"/>
          <w:szCs w:val="20"/>
        </w:rPr>
      </w:pPr>
    </w:p>
    <w:p>
      <w:pPr>
        <w:tabs>
          <w:tab w:val="left" w:pos="6300"/>
        </w:tabs>
        <w:snapToGrid w:val="0"/>
        <w:spacing w:line="500" w:lineRule="exact"/>
        <w:ind w:firstLine="480" w:firstLineChars="200"/>
        <w:rPr>
          <w:rFonts w:ascii="方正仿宋_GBK" w:hAnsi="宋体" w:eastAsia="方正仿宋_GBK" w:cs="Times New Roman"/>
          <w:color w:val="auto"/>
          <w:sz w:val="24"/>
          <w:szCs w:val="20"/>
        </w:rPr>
      </w:pPr>
      <w:r>
        <w:rPr>
          <w:rFonts w:hint="eastAsia" w:ascii="方正仿宋_GBK" w:hAnsi="宋体" w:eastAsia="方正仿宋_GBK" w:cs="Times New Roman"/>
          <w:color w:val="auto"/>
          <w:sz w:val="24"/>
          <w:szCs w:val="20"/>
        </w:rPr>
        <w:t>致：</w:t>
      </w:r>
      <w:r>
        <w:rPr>
          <w:rFonts w:hint="eastAsia" w:ascii="方正仿宋_GBK" w:hAnsi="宋体" w:eastAsia="方正仿宋_GBK"/>
          <w:color w:val="auto"/>
          <w:sz w:val="24"/>
          <w:szCs w:val="24"/>
          <w:u w:val="single"/>
        </w:rPr>
        <w:t>重庆医科大学附属永川医院</w:t>
      </w:r>
      <w:r>
        <w:rPr>
          <w:rFonts w:hint="eastAsia" w:ascii="方正仿宋_GBK" w:hAnsi="宋体" w:eastAsia="方正仿宋_GBK" w:cs="Times New Roman"/>
          <w:color w:val="auto"/>
          <w:sz w:val="24"/>
          <w:szCs w:val="20"/>
          <w:u w:val="single"/>
        </w:rPr>
        <w:t xml:space="preserve">   </w:t>
      </w:r>
      <w:r>
        <w:rPr>
          <w:rFonts w:hint="eastAsia" w:ascii="方正仿宋_GBK" w:hAnsi="宋体" w:eastAsia="方正仿宋_GBK" w:cs="Times New Roman"/>
          <w:color w:val="auto"/>
          <w:sz w:val="24"/>
          <w:szCs w:val="20"/>
        </w:rPr>
        <w:t>：</w:t>
      </w:r>
    </w:p>
    <w:p>
      <w:pPr>
        <w:spacing w:line="440" w:lineRule="exact"/>
        <w:ind w:firstLine="480" w:firstLineChars="2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u w:val="single"/>
        </w:rPr>
        <w:t xml:space="preserve">                       </w:t>
      </w:r>
      <w:r>
        <w:rPr>
          <w:rFonts w:hint="eastAsia" w:ascii="方正仿宋_GBK" w:hAnsi="宋体" w:eastAsia="方正仿宋_GBK" w:cs="Times New Roman"/>
          <w:color w:val="auto"/>
          <w:sz w:val="24"/>
          <w:szCs w:val="28"/>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特此声明。</w:t>
      </w:r>
    </w:p>
    <w:p>
      <w:pPr>
        <w:tabs>
          <w:tab w:val="left" w:pos="6300"/>
        </w:tabs>
        <w:snapToGrid w:val="0"/>
        <w:spacing w:line="500" w:lineRule="exact"/>
        <w:jc w:val="center"/>
        <w:rPr>
          <w:rFonts w:ascii="方正仿宋_GBK" w:hAnsi="宋体" w:eastAsia="方正仿宋_GBK" w:cs="Times New Roman"/>
          <w:color w:val="auto"/>
          <w:sz w:val="24"/>
          <w:szCs w:val="28"/>
        </w:rPr>
      </w:pPr>
    </w:p>
    <w:p>
      <w:pPr>
        <w:tabs>
          <w:tab w:val="left" w:pos="6300"/>
        </w:tabs>
        <w:snapToGrid w:val="0"/>
        <w:spacing w:line="500" w:lineRule="exact"/>
        <w:rPr>
          <w:rFonts w:ascii="方正仿宋_GBK" w:hAnsi="宋体" w:eastAsia="方正仿宋_GBK" w:cs="Times New Roman"/>
          <w:color w:val="auto"/>
          <w:sz w:val="24"/>
          <w:szCs w:val="28"/>
        </w:rPr>
      </w:pPr>
    </w:p>
    <w:p>
      <w:pPr>
        <w:tabs>
          <w:tab w:val="left" w:pos="6300"/>
        </w:tabs>
        <w:snapToGrid w:val="0"/>
        <w:spacing w:line="500" w:lineRule="exact"/>
        <w:ind w:firstLine="6480" w:firstLineChars="2700"/>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（供应商公章）</w:t>
      </w:r>
    </w:p>
    <w:p>
      <w:pPr>
        <w:tabs>
          <w:tab w:val="left" w:pos="6300"/>
        </w:tabs>
        <w:snapToGrid w:val="0"/>
        <w:spacing w:line="360" w:lineRule="auto"/>
        <w:ind w:right="360" w:firstLine="480" w:firstLineChars="200"/>
        <w:jc w:val="right"/>
        <w:rPr>
          <w:rFonts w:ascii="方正仿宋_GBK" w:hAnsi="宋体" w:eastAsia="方正仿宋_GBK" w:cs="Times New Roman"/>
          <w:color w:val="auto"/>
          <w:sz w:val="24"/>
          <w:szCs w:val="28"/>
        </w:rPr>
      </w:pPr>
    </w:p>
    <w:p>
      <w:pPr>
        <w:tabs>
          <w:tab w:val="left" w:pos="6300"/>
        </w:tabs>
        <w:snapToGrid w:val="0"/>
        <w:spacing w:line="360" w:lineRule="auto"/>
        <w:ind w:right="1320" w:firstLine="480" w:firstLineChars="200"/>
        <w:jc w:val="right"/>
        <w:rPr>
          <w:rFonts w:ascii="方正仿宋_GBK" w:hAnsi="宋体" w:eastAsia="方正仿宋_GBK" w:cs="Times New Roman"/>
          <w:color w:val="auto"/>
          <w:sz w:val="24"/>
          <w:szCs w:val="28"/>
        </w:rPr>
      </w:pPr>
      <w:r>
        <w:rPr>
          <w:rFonts w:hint="eastAsia" w:ascii="方正仿宋_GBK" w:hAnsi="宋体" w:eastAsia="方正仿宋_GBK" w:cs="Times New Roman"/>
          <w:color w:val="auto"/>
          <w:sz w:val="24"/>
          <w:szCs w:val="28"/>
        </w:rPr>
        <w:t>年   月   日</w:t>
      </w: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500" w:lineRule="exact"/>
        <w:outlineLvl w:val="0"/>
        <w:rPr>
          <w:rFonts w:ascii="方正仿宋_GBK" w:hAnsi="宋体" w:eastAsia="方正仿宋_GBK" w:cs="Times New Roman"/>
          <w:color w:val="auto"/>
          <w:sz w:val="24"/>
          <w:szCs w:val="24"/>
        </w:rPr>
      </w:pPr>
    </w:p>
    <w:p>
      <w:pPr>
        <w:tabs>
          <w:tab w:val="left" w:pos="6300"/>
        </w:tabs>
        <w:snapToGrid w:val="0"/>
        <w:spacing w:line="360" w:lineRule="auto"/>
        <w:ind w:firstLine="560" w:firstLineChars="200"/>
        <w:rPr>
          <w:rFonts w:ascii="仿宋" w:hAnsi="仿宋" w:eastAsia="仿宋" w:cs="仿宋"/>
          <w:color w:val="auto"/>
          <w:sz w:val="28"/>
          <w:szCs w:val="28"/>
        </w:rPr>
      </w:pPr>
      <w:bookmarkStart w:id="157" w:name="OLE_LINK4"/>
      <w:bookmarkStart w:id="158" w:name="OLE_LINK7"/>
      <w:r>
        <w:rPr>
          <w:rFonts w:hint="eastAsia" w:ascii="方正仿宋_GBK" w:hAnsi="宋体" w:eastAsia="方正仿宋_GBK" w:cs="Times New Roman"/>
          <w:color w:val="auto"/>
          <w:sz w:val="28"/>
          <w:szCs w:val="20"/>
        </w:rPr>
        <w:t>（七）</w:t>
      </w:r>
      <w:r>
        <w:rPr>
          <w:rFonts w:hint="eastAsia" w:ascii="微软雅黑" w:hAnsi="微软雅黑" w:eastAsia="微软雅黑" w:cs="微软雅黑"/>
          <w:color w:val="auto"/>
          <w:sz w:val="28"/>
          <w:szCs w:val="28"/>
        </w:rPr>
        <w:t>税务登记证（副本）复印件</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微软雅黑" w:hAnsi="微软雅黑" w:eastAsia="微软雅黑" w:cs="微软雅黑"/>
          <w:color w:val="auto"/>
          <w:sz w:val="28"/>
          <w:szCs w:val="28"/>
        </w:rPr>
        <w:t>（八）</w:t>
      </w:r>
      <w:r>
        <w:rPr>
          <w:rFonts w:hint="eastAsia" w:ascii="方正仿宋_GBK" w:hAnsi="宋体" w:eastAsia="方正仿宋_GBK" w:cs="Times New Roman"/>
          <w:color w:val="auto"/>
          <w:sz w:val="28"/>
          <w:szCs w:val="20"/>
        </w:rPr>
        <w:t>社会保险缴纳证明材料</w:t>
      </w:r>
    </w:p>
    <w:p>
      <w:pPr>
        <w:widowControl/>
        <w:spacing w:line="400" w:lineRule="exact"/>
        <w:ind w:firstLine="480" w:firstLineChars="200"/>
        <w:jc w:val="left"/>
        <w:rPr>
          <w:rFonts w:ascii="方正仿宋_GBK" w:hAnsi="宋体" w:eastAsia="方正仿宋_GBK" w:cs="Times New Roman"/>
          <w:color w:val="auto"/>
          <w:sz w:val="24"/>
          <w:szCs w:val="24"/>
        </w:rPr>
      </w:pPr>
      <w:r>
        <w:rPr>
          <w:rFonts w:hint="eastAsia" w:ascii="方正仿宋_GBK" w:hAnsi="宋体" w:eastAsia="方正仿宋_GBK" w:cs="Times New Roman"/>
          <w:color w:val="auto"/>
          <w:sz w:val="24"/>
          <w:szCs w:val="24"/>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ascii="方正仿宋_GBK" w:hAnsi="宋体" w:eastAsia="方正仿宋_GBK" w:cs="Times New Roman"/>
          <w:color w:val="auto"/>
          <w:sz w:val="28"/>
          <w:szCs w:val="20"/>
        </w:rPr>
      </w:pPr>
    </w:p>
    <w:bookmarkEnd w:id="157"/>
    <w:bookmarkEnd w:id="158"/>
    <w:p>
      <w:pPr>
        <w:widowControl/>
        <w:ind w:firstLine="560" w:firstLineChars="200"/>
        <w:jc w:val="left"/>
        <w:rPr>
          <w:rFonts w:ascii="方正仿宋_GBK" w:hAnsi="宋体" w:eastAsia="方正仿宋_GBK" w:cs="Times New Roman"/>
          <w:color w:val="auto"/>
          <w:sz w:val="28"/>
          <w:szCs w:val="20"/>
        </w:rPr>
      </w:pPr>
      <w:r>
        <w:rPr>
          <w:rFonts w:hint="eastAsia" w:ascii="方正仿宋_GBK" w:hAnsi="宋体" w:eastAsia="方正仿宋_GBK" w:cs="Times New Roman"/>
          <w:color w:val="auto"/>
          <w:sz w:val="28"/>
          <w:szCs w:val="20"/>
        </w:rPr>
        <w:t>（九）特定资格条件证书或证明文件</w:t>
      </w:r>
      <w:r>
        <w:rPr>
          <w:rFonts w:hint="eastAsia" w:ascii="微软雅黑" w:hAnsi="微软雅黑" w:eastAsia="微软雅黑" w:cs="微软雅黑"/>
          <w:color w:val="auto"/>
          <w:szCs w:val="28"/>
        </w:rPr>
        <w:t>（如果有）</w:t>
      </w:r>
    </w:p>
    <w:p>
      <w:pPr>
        <w:tabs>
          <w:tab w:val="left" w:pos="6300"/>
        </w:tabs>
        <w:snapToGrid w:val="0"/>
        <w:spacing w:line="500" w:lineRule="exact"/>
        <w:ind w:firstLine="560" w:firstLineChars="200"/>
        <w:rPr>
          <w:rFonts w:ascii="方正仿宋_GBK" w:hAnsi="宋体" w:eastAsia="方正仿宋_GBK" w:cs="Times New Roman"/>
          <w:color w:val="auto"/>
          <w:sz w:val="28"/>
          <w:szCs w:val="20"/>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spacing w:line="360" w:lineRule="auto"/>
        <w:ind w:firstLine="480" w:firstLineChars="200"/>
        <w:jc w:val="center"/>
        <w:rPr>
          <w:rFonts w:ascii="方正仿宋_GBK" w:hAnsi="宋体" w:eastAsia="方正仿宋_GBK" w:cs="Times New Roman"/>
          <w:color w:val="auto"/>
          <w:sz w:val="24"/>
          <w:szCs w:val="24"/>
        </w:rPr>
      </w:pPr>
    </w:p>
    <w:p>
      <w:pPr>
        <w:pStyle w:val="3"/>
        <w:bidi w:val="0"/>
        <w:rPr>
          <w:rFonts w:hint="eastAsia"/>
          <w:color w:val="auto"/>
          <w:lang w:val="en-US" w:eastAsia="zh-CN"/>
        </w:rPr>
      </w:pPr>
      <w:bookmarkStart w:id="159" w:name="_Toc31463"/>
      <w:bookmarkStart w:id="160" w:name="_Toc27212"/>
    </w:p>
    <w:p>
      <w:pPr>
        <w:rPr>
          <w:rFonts w:hint="eastAsia"/>
          <w:color w:val="auto"/>
          <w:lang w:val="en-US" w:eastAsia="zh-CN"/>
        </w:rPr>
      </w:pPr>
    </w:p>
    <w:p>
      <w:pPr>
        <w:rPr>
          <w:rFonts w:hint="eastAsia"/>
          <w:color w:val="auto"/>
          <w:lang w:val="en-US" w:eastAsia="zh-CN"/>
        </w:rPr>
      </w:pPr>
    </w:p>
    <w:p>
      <w:pPr>
        <w:pStyle w:val="3"/>
        <w:bidi w:val="0"/>
        <w:rPr>
          <w:rFonts w:hint="eastAsia"/>
          <w:color w:val="auto"/>
          <w:lang w:val="en-US" w:eastAsia="zh-CN"/>
        </w:rPr>
      </w:pPr>
    </w:p>
    <w:bookmarkEnd w:id="159"/>
    <w:bookmarkEnd w:id="160"/>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--严重失信主体名单查询</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--政府采购严重违法失信行为记录名单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hint="eastAsia" w:ascii="方正仿宋_GBK" w:hAnsi="宋体" w:eastAsia="方正仿宋_GBK" w:cs="Times New Roman"/>
          <w:color w:val="auto"/>
          <w:sz w:val="28"/>
          <w:szCs w:val="28"/>
        </w:rPr>
      </w:pPr>
    </w:p>
    <w:p>
      <w:pPr>
        <w:jc w:val="left"/>
        <w:rPr>
          <w:rFonts w:hint="eastAsia" w:ascii="方正仿宋_GBK" w:hAnsi="宋体" w:eastAsia="方正仿宋_GBK" w:cs="Times New Roman"/>
          <w:color w:val="auto"/>
          <w:sz w:val="28"/>
          <w:szCs w:val="28"/>
        </w:rPr>
      </w:pPr>
    </w:p>
    <w:p>
      <w:pPr>
        <w:jc w:val="left"/>
        <w:rPr>
          <w:rFonts w:hint="default" w:ascii="Times New Roman" w:hAnsi="Times New Roman" w:eastAsia="方正仿宋_GBK" w:cs="Times New Roman"/>
          <w:color w:val="auto"/>
          <w:sz w:val="28"/>
          <w:szCs w:val="20"/>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--税收违法黑名单</w:t>
      </w:r>
      <w:r>
        <w:rPr>
          <w:rFonts w:hint="eastAsia" w:ascii="方正仿宋_GBK" w:hAnsi="宋体" w:eastAsia="方正仿宋_GBK"/>
          <w:color w:val="auto"/>
          <w:sz w:val="24"/>
          <w:szCs w:val="24"/>
          <w:lang w:val="en-US" w:eastAsia="zh-CN"/>
        </w:rPr>
        <w:t>（若网站更新则用最新版截图）</w:t>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ascii="Times New Roman" w:hAnsi="Times New Roman" w:eastAsia="宋体" w:cs="Times New Roman"/>
          <w:color w:val="auto"/>
          <w:sz w:val="28"/>
          <w:szCs w:val="28"/>
        </w:rPr>
      </w:pPr>
    </w:p>
    <w:p>
      <w:pPr>
        <w:jc w:val="left"/>
        <w:rPr>
          <w:rFonts w:hint="eastAsia" w:ascii="方正仿宋_GBK" w:hAnsi="宋体" w:eastAsia="方正仿宋_GBK" w:cs="Times New Roman"/>
          <w:color w:val="auto"/>
          <w:sz w:val="28"/>
          <w:szCs w:val="28"/>
          <w:lang w:val="en-US" w:eastAsia="zh-CN"/>
        </w:rPr>
      </w:pPr>
      <w:r>
        <w:rPr>
          <w:rFonts w:hint="eastAsia" w:ascii="方正仿宋_GBK" w:hAnsi="宋体" w:eastAsia="方正仿宋_GBK" w:cs="Times New Roman"/>
          <w:color w:val="auto"/>
          <w:sz w:val="28"/>
          <w:szCs w:val="28"/>
        </w:rPr>
        <w:t>信用中国--</w:t>
      </w:r>
      <w:r>
        <w:rPr>
          <w:rFonts w:hint="eastAsia" w:ascii="方正仿宋_GBK" w:hAnsi="宋体" w:eastAsia="方正仿宋_GBK" w:cs="Times New Roman"/>
          <w:color w:val="auto"/>
          <w:sz w:val="28"/>
          <w:szCs w:val="28"/>
          <w:lang w:eastAsia="zh-CN"/>
        </w:rPr>
        <w:t>信用服务</w:t>
      </w:r>
      <w:r>
        <w:rPr>
          <w:rFonts w:hint="eastAsia" w:ascii="方正仿宋_GBK" w:hAnsi="宋体" w:eastAsia="方正仿宋_GBK" w:cs="Times New Roman"/>
          <w:color w:val="auto"/>
          <w:sz w:val="28"/>
          <w:szCs w:val="28"/>
          <w:lang w:val="en-US" w:eastAsia="zh-CN"/>
        </w:rPr>
        <w:t>--失信被执行人</w:t>
      </w:r>
      <w:r>
        <w:rPr>
          <w:rFonts w:hint="eastAsia" w:ascii="方正仿宋_GBK" w:hAnsi="宋体" w:eastAsia="方正仿宋_GBK"/>
          <w:color w:val="auto"/>
          <w:sz w:val="24"/>
          <w:szCs w:val="24"/>
          <w:lang w:val="en-US" w:eastAsia="zh-CN"/>
        </w:rPr>
        <w:t>（若网站更新则用最新版截图）</w:t>
      </w: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eastAsia" w:ascii="方正仿宋_GBK" w:hAnsi="宋体" w:eastAsia="方正仿宋_GBK" w:cs="Times New Roman"/>
          <w:color w:val="auto"/>
          <w:sz w:val="28"/>
          <w:szCs w:val="28"/>
          <w:lang w:val="en-US" w:eastAsia="zh-CN"/>
        </w:rPr>
      </w:pPr>
    </w:p>
    <w:p>
      <w:pPr>
        <w:jc w:val="left"/>
        <w:rPr>
          <w:rFonts w:hint="default" w:ascii="方正仿宋_GBK" w:hAnsi="宋体" w:eastAsia="方正仿宋_GBK" w:cs="Times New Roman"/>
          <w:color w:val="auto"/>
          <w:sz w:val="28"/>
          <w:szCs w:val="28"/>
          <w:lang w:val="en-US" w:eastAsia="zh-CN"/>
        </w:rPr>
      </w:pP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r>
        <w:rPr>
          <w:color w:val="auto"/>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auto"/>
          <w:sz w:val="28"/>
          <w:szCs w:val="20"/>
        </w:rPr>
      </w:pPr>
    </w:p>
    <w:p>
      <w:pPr>
        <w:jc w:val="left"/>
        <w:rPr>
          <w:rFonts w:ascii="Times New Roman" w:hAnsi="Times New Roman" w:eastAsia="宋体"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tabs>
          <w:tab w:val="left" w:pos="6300"/>
        </w:tabs>
        <w:snapToGrid w:val="0"/>
        <w:spacing w:line="360" w:lineRule="auto"/>
        <w:rPr>
          <w:rFonts w:ascii="方正仿宋_GBK" w:hAnsi="宋体" w:eastAsia="方正仿宋_GBK" w:cs="Times New Roman"/>
          <w:color w:val="auto"/>
          <w:sz w:val="28"/>
          <w:szCs w:val="20"/>
        </w:rPr>
      </w:pPr>
    </w:p>
    <w:p>
      <w:pPr>
        <w:pageBreakBefore/>
        <w:tabs>
          <w:tab w:val="left" w:pos="6300"/>
        </w:tabs>
        <w:snapToGrid w:val="0"/>
        <w:spacing w:line="480" w:lineRule="exact"/>
        <w:outlineLvl w:val="0"/>
        <w:rPr>
          <w:rFonts w:hint="eastAsia" w:ascii="方正仿宋_GBK" w:hAnsi="Arial" w:eastAsia="方正仿宋_GBK"/>
          <w:b/>
          <w:color w:val="auto"/>
        </w:rPr>
      </w:pPr>
      <w:r>
        <w:rPr>
          <w:rFonts w:hint="eastAsia" w:ascii="方正仿宋_GBK" w:hAnsi="Arial" w:eastAsia="方正仿宋_GBK"/>
          <w:b/>
          <w:color w:val="auto"/>
        </w:rPr>
        <w:t>其他资料</w:t>
      </w:r>
    </w:p>
    <w:p>
      <w:pPr>
        <w:rPr>
          <w:rFonts w:hint="eastAsia" w:ascii="方正仿宋_GBK" w:eastAsia="方正仿宋_GBK"/>
          <w:color w:val="auto"/>
        </w:rPr>
      </w:pPr>
      <w:r>
        <w:rPr>
          <w:rFonts w:hint="eastAsia" w:ascii="方正仿宋_GBK" w:hAnsi="宋体" w:eastAsia="方正仿宋_GBK"/>
          <w:color w:val="auto"/>
          <w:szCs w:val="28"/>
        </w:rPr>
        <w:t>（一）中小微企业声明函、监狱企业证明文件、残疾人福利性单位声明函</w:t>
      </w:r>
    </w:p>
    <w:p>
      <w:pPr>
        <w:jc w:val="center"/>
        <w:rPr>
          <w:rFonts w:hint="eastAsia" w:ascii="方正仿宋_GBK" w:hAnsi="宋体" w:eastAsia="方正仿宋_GBK"/>
          <w:color w:val="auto"/>
          <w:sz w:val="32"/>
          <w:szCs w:val="32"/>
        </w:rPr>
      </w:pPr>
      <w:r>
        <w:rPr>
          <w:rFonts w:hint="eastAsia" w:ascii="方正仿宋_GBK" w:hAnsi="宋体" w:eastAsia="方正仿宋_GBK"/>
          <w:color w:val="auto"/>
          <w:sz w:val="32"/>
          <w:szCs w:val="32"/>
        </w:rPr>
        <w:t>中小微企业声明函</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本公司郑重声明，根据《政府采购促进中小企业发展管理办法》（财库〔2020〕46号）的规定，本公司参加</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（单位名称）</w:t>
      </w:r>
      <w:r>
        <w:rPr>
          <w:rFonts w:hint="eastAsia" w:ascii="楷体" w:hAnsi="楷体" w:eastAsia="楷体" w:cs="宋体"/>
          <w:color w:val="auto"/>
          <w:sz w:val="24"/>
          <w:szCs w:val="24"/>
        </w:rPr>
        <w:t>的</w:t>
      </w:r>
      <w:r>
        <w:rPr>
          <w:rFonts w:hint="eastAsia" w:ascii="楷体" w:hAnsi="楷体" w:eastAsia="楷体" w:cs="宋体"/>
          <w:i/>
          <w:color w:val="auto"/>
          <w:sz w:val="24"/>
          <w:szCs w:val="24"/>
          <w:u w:val="single"/>
        </w:rPr>
        <w:t>（项目名称）</w:t>
      </w:r>
      <w:r>
        <w:rPr>
          <w:rFonts w:hint="eastAsia" w:ascii="楷体" w:hAnsi="楷体" w:eastAsia="楷体" w:cs="宋体"/>
          <w:color w:val="auto"/>
          <w:sz w:val="24"/>
          <w:szCs w:val="24"/>
        </w:rPr>
        <w:t>采购活动，服务全部由符合政策要求的中小企业承接。相关企业的具体情况如下：</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1.</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rPr>
        <w:t xml:space="preserve">，属于（工业 ）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 xml:space="preserve">；承接企业为  </w:t>
      </w:r>
      <w:r>
        <w:rPr>
          <w:rFonts w:hint="eastAsia" w:ascii="楷体" w:hAnsi="楷体" w:eastAsia="楷体" w:cs="宋体"/>
          <w:color w:val="auto"/>
          <w:sz w:val="24"/>
          <w:szCs w:val="24"/>
          <w:u w:val="single"/>
        </w:rPr>
        <w:t xml:space="preserve">                       </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    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 xml:space="preserve"> </w:t>
      </w:r>
      <w:r>
        <w:rPr>
          <w:rFonts w:hint="eastAsia" w:ascii="楷体" w:hAnsi="楷体" w:eastAsia="楷体" w:cs="宋体"/>
          <w:i/>
          <w:color w:val="auto"/>
          <w:sz w:val="24"/>
          <w:szCs w:val="24"/>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2.</w:t>
      </w:r>
      <w:r>
        <w:rPr>
          <w:rFonts w:hint="eastAsia" w:ascii="楷体" w:hAnsi="楷体" w:eastAsia="楷体" w:cs="宋体"/>
          <w:i/>
          <w:color w:val="auto"/>
          <w:sz w:val="24"/>
          <w:szCs w:val="24"/>
          <w:u w:val="single"/>
        </w:rPr>
        <w:t xml:space="preserve"> （</w:t>
      </w:r>
      <w:r>
        <w:rPr>
          <w:rFonts w:hint="eastAsia" w:ascii="楷体" w:hAnsi="楷体" w:eastAsia="楷体" w:cs="宋体"/>
          <w:color w:val="auto"/>
          <w:sz w:val="24"/>
          <w:szCs w:val="24"/>
          <w:u w:val="single"/>
        </w:rPr>
        <w:t>重庆医科大学附属永川医院</w:t>
      </w:r>
      <w:r>
        <w:rPr>
          <w:rFonts w:hint="eastAsia" w:ascii="楷体" w:hAnsi="楷体" w:eastAsia="楷体" w:cs="宋体"/>
          <w:i/>
          <w:color w:val="auto"/>
          <w:sz w:val="24"/>
          <w:szCs w:val="24"/>
          <w:u w:val="single"/>
        </w:rPr>
        <w:t>***</w:t>
      </w:r>
      <w:r>
        <w:rPr>
          <w:rFonts w:hint="eastAsia" w:ascii="楷体" w:hAnsi="楷体" w:eastAsia="楷体" w:cs="宋体"/>
          <w:color w:val="auto"/>
          <w:sz w:val="24"/>
          <w:szCs w:val="24"/>
          <w:u w:val="single"/>
        </w:rPr>
        <w:t>项目）</w:t>
      </w:r>
      <w:r>
        <w:rPr>
          <w:rFonts w:hint="eastAsia" w:ascii="楷体" w:hAnsi="楷体" w:eastAsia="楷体" w:cs="宋体"/>
          <w:color w:val="auto"/>
          <w:sz w:val="24"/>
          <w:szCs w:val="24"/>
        </w:rPr>
        <w:t>，属于（   ）</w:t>
      </w:r>
      <w:r>
        <w:rPr>
          <w:rFonts w:hint="eastAsia" w:ascii="楷体" w:hAnsi="楷体" w:eastAsia="楷体" w:cs="宋体"/>
          <w:i/>
          <w:color w:val="auto"/>
          <w:sz w:val="24"/>
          <w:szCs w:val="24"/>
          <w:u w:val="single"/>
        </w:rPr>
        <w:t>（采购文件中明确的所属行业）</w:t>
      </w:r>
      <w:r>
        <w:rPr>
          <w:rFonts w:hint="eastAsia" w:ascii="楷体" w:hAnsi="楷体" w:eastAsia="楷体" w:cs="宋体"/>
          <w:color w:val="auto"/>
          <w:sz w:val="24"/>
          <w:szCs w:val="24"/>
        </w:rPr>
        <w:t>；承接企业为</w:t>
      </w:r>
      <w:r>
        <w:rPr>
          <w:rFonts w:hint="eastAsia" w:ascii="楷体" w:hAnsi="楷体" w:eastAsia="楷体" w:cs="宋体"/>
          <w:i/>
          <w:color w:val="auto"/>
          <w:sz w:val="24"/>
          <w:szCs w:val="24"/>
          <w:u w:val="single"/>
        </w:rPr>
        <w:t>（企业名称）</w:t>
      </w:r>
      <w:r>
        <w:rPr>
          <w:rFonts w:hint="eastAsia" w:ascii="楷体" w:hAnsi="楷体" w:eastAsia="楷体" w:cs="宋体"/>
          <w:color w:val="auto"/>
          <w:sz w:val="24"/>
          <w:szCs w:val="24"/>
        </w:rPr>
        <w:t>，从业人员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人，营业收入为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万元，资产总额为</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万元，属于（      ）</w:t>
      </w:r>
      <w:r>
        <w:rPr>
          <w:rFonts w:hint="eastAsia" w:ascii="楷体" w:hAnsi="楷体" w:eastAsia="楷体" w:cs="宋体"/>
          <w:i/>
          <w:color w:val="auto"/>
          <w:sz w:val="24"/>
          <w:szCs w:val="24"/>
          <w:u w:val="single"/>
        </w:rPr>
        <w:t>（中型企业、小型企业、微型企业）</w:t>
      </w: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为本标的提供的服务人员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人，其中与本企业签订劳动合同</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人，其他人员</w:t>
      </w:r>
      <w:r>
        <w:rPr>
          <w:rFonts w:hint="eastAsia" w:ascii="楷体" w:hAnsi="楷体" w:eastAsia="楷体" w:cs="宋体"/>
          <w:color w:val="auto"/>
          <w:sz w:val="24"/>
          <w:szCs w:val="24"/>
          <w:u w:val="single"/>
        </w:rPr>
        <w:t xml:space="preserve">   </w:t>
      </w:r>
      <w:r>
        <w:rPr>
          <w:rFonts w:hint="eastAsia" w:ascii="楷体" w:hAnsi="楷体" w:eastAsia="楷体" w:cs="宋体"/>
          <w:color w:val="auto"/>
          <w:sz w:val="24"/>
          <w:szCs w:val="24"/>
        </w:rPr>
        <w:t>人。有其他人员的不符合中小企业扶持政策（适用于服务采购项目）;</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以上企业，不属于大企业的分支机构，不存在控股股东为大企业的情形，也不存在与大企业的负责人为同一人的情形。</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本企业对上述声明内容的真实性负责。如有虚假，将依法承担相应责任。</w:t>
      </w:r>
    </w:p>
    <w:p>
      <w:pPr>
        <w:tabs>
          <w:tab w:val="left" w:pos="6300"/>
        </w:tabs>
        <w:snapToGrid w:val="0"/>
        <w:spacing w:line="5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 xml:space="preserve">                                                    </w:t>
      </w:r>
    </w:p>
    <w:p>
      <w:pPr>
        <w:tabs>
          <w:tab w:val="left" w:pos="6300"/>
        </w:tabs>
        <w:snapToGrid w:val="0"/>
        <w:spacing w:line="500" w:lineRule="exact"/>
        <w:ind w:firstLine="3120" w:firstLineChars="1300"/>
        <w:rPr>
          <w:rFonts w:hint="eastAsia" w:ascii="楷体" w:hAnsi="楷体" w:eastAsia="楷体" w:cs="宋体"/>
          <w:color w:val="auto"/>
          <w:sz w:val="24"/>
          <w:szCs w:val="24"/>
        </w:rPr>
      </w:pPr>
      <w:r>
        <w:rPr>
          <w:rFonts w:hint="eastAsia" w:ascii="楷体" w:hAnsi="楷体" w:eastAsia="楷体" w:cs="宋体"/>
          <w:color w:val="auto"/>
          <w:sz w:val="24"/>
          <w:szCs w:val="24"/>
        </w:rPr>
        <w:t xml:space="preserve">企业名称（盖章）： </w:t>
      </w:r>
    </w:p>
    <w:p>
      <w:pPr>
        <w:tabs>
          <w:tab w:val="left" w:pos="6300"/>
        </w:tabs>
        <w:snapToGrid w:val="0"/>
        <w:spacing w:line="500" w:lineRule="exact"/>
        <w:ind w:firstLine="3600" w:firstLineChars="1500"/>
        <w:rPr>
          <w:rFonts w:hint="eastAsia" w:ascii="楷体" w:hAnsi="楷体" w:eastAsia="楷体" w:cs="宋体"/>
          <w:color w:val="auto"/>
          <w:sz w:val="24"/>
          <w:szCs w:val="24"/>
        </w:rPr>
      </w:pPr>
      <w:r>
        <w:rPr>
          <w:rFonts w:hint="eastAsia" w:ascii="楷体" w:hAnsi="楷体" w:eastAsia="楷体" w:cs="宋体"/>
          <w:color w:val="auto"/>
          <w:sz w:val="24"/>
          <w:szCs w:val="24"/>
        </w:rPr>
        <w:t>日期：</w:t>
      </w: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p>
    <w:p>
      <w:pPr>
        <w:tabs>
          <w:tab w:val="left" w:pos="6300"/>
        </w:tabs>
        <w:snapToGrid w:val="0"/>
        <w:spacing w:line="420" w:lineRule="exact"/>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填写时应注意以下事项：</w:t>
      </w:r>
    </w:p>
    <w:p>
      <w:pPr>
        <w:tabs>
          <w:tab w:val="left" w:pos="6300"/>
        </w:tabs>
        <w:snapToGrid w:val="0"/>
        <w:spacing w:line="420" w:lineRule="exact"/>
        <w:ind w:firstLine="480" w:firstLineChars="200"/>
        <w:rPr>
          <w:rFonts w:hint="eastAsia" w:ascii="楷体" w:hAnsi="楷体" w:eastAsia="楷体" w:cs="宋体"/>
          <w:color w:val="auto"/>
          <w:kern w:val="0"/>
          <w:sz w:val="24"/>
          <w:szCs w:val="24"/>
        </w:rPr>
      </w:pPr>
      <w:r>
        <w:rPr>
          <w:rFonts w:hint="eastAsia" w:ascii="楷体" w:hAnsi="楷体" w:eastAsia="楷体" w:cs="宋体"/>
          <w:color w:val="auto"/>
          <w:kern w:val="0"/>
          <w:sz w:val="24"/>
          <w:szCs w:val="24"/>
        </w:rPr>
        <w:t>1.从业人员、营业收入、资产总额填报上一年度数据，无上一年度数据的新成立企业可不填报。</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2.中小企业应当按照《中小企业划型标准规定》（工信部联企业〔2011〕300号），如实填写并提交《中小企业声明函》。</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3.投标人填写《中小企业声明函》中所属行业时，应与采购文件第一篇 “采购标的对应的中小企业划分标准所属行业”中填写的所属行业一致。</w:t>
      </w:r>
    </w:p>
    <w:p>
      <w:pPr>
        <w:tabs>
          <w:tab w:val="left" w:pos="6300"/>
        </w:tabs>
        <w:snapToGrid w:val="0"/>
        <w:spacing w:line="420" w:lineRule="exact"/>
        <w:ind w:firstLine="482" w:firstLineChars="200"/>
        <w:rPr>
          <w:rFonts w:hint="eastAsia" w:ascii="楷体" w:hAnsi="楷体" w:eastAsia="楷体" w:cs="宋体"/>
          <w:b/>
          <w:color w:val="auto"/>
          <w:kern w:val="0"/>
          <w:sz w:val="24"/>
          <w:szCs w:val="24"/>
          <w:u w:val="single"/>
        </w:rPr>
      </w:pPr>
      <w:r>
        <w:rPr>
          <w:rFonts w:hint="eastAsia" w:ascii="楷体" w:hAnsi="楷体" w:eastAsia="楷体" w:cs="宋体"/>
          <w:b/>
          <w:color w:val="auto"/>
          <w:kern w:val="0"/>
          <w:sz w:val="24"/>
          <w:szCs w:val="24"/>
          <w:u w:val="single"/>
        </w:rPr>
        <w:t>4.本声明函“企业名称（盖章）”处为投标人盖章。</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注：各行业划型标准：</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（一）农、林、牧、渔业。营业收入20000万元以下的为中小微型企业。其中，营业收入500万元及以上的为中型企业，营业收入50万元及以上的为小型企业，营业收入50万元以下的为微型企业。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tabs>
          <w:tab w:val="left" w:pos="6300"/>
        </w:tabs>
        <w:snapToGrid w:val="0"/>
        <w:spacing w:line="400" w:lineRule="exact"/>
        <w:ind w:firstLine="480" w:firstLineChars="200"/>
        <w:rPr>
          <w:rFonts w:hint="eastAsia" w:ascii="楷体" w:hAnsi="楷体" w:eastAsia="楷体" w:cs="宋体"/>
          <w:color w:val="auto"/>
          <w:sz w:val="24"/>
          <w:szCs w:val="24"/>
        </w:rPr>
      </w:pPr>
      <w:r>
        <w:rPr>
          <w:rFonts w:hint="eastAsia" w:ascii="楷体" w:hAnsi="楷体" w:eastAsia="楷体" w:cs="宋体"/>
          <w:color w:val="auto"/>
          <w:sz w:val="24"/>
          <w:szCs w:val="24"/>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tabs>
          <w:tab w:val="left" w:pos="6300"/>
        </w:tabs>
        <w:snapToGrid w:val="0"/>
        <w:spacing w:line="500" w:lineRule="exact"/>
        <w:rPr>
          <w:rFonts w:hint="eastAsia" w:ascii="楷体" w:hAnsi="楷体" w:eastAsia="楷体"/>
          <w:color w:val="auto"/>
          <w:sz w:val="24"/>
          <w:szCs w:val="24"/>
        </w:rPr>
      </w:pPr>
      <w:r>
        <w:rPr>
          <w:rFonts w:hint="eastAsia" w:ascii="楷体" w:hAnsi="楷体" w:eastAsia="楷体" w:cs="宋体"/>
          <w:color w:val="auto"/>
          <w:sz w:val="24"/>
          <w:szCs w:val="24"/>
        </w:rPr>
        <w:t>（十六）其他未列明行业。从业人员300人以下的为中小微型企业。其中，从业人员100人及以上的为中型企业；从业人员10人及以上的为小型企业；从业人员10人以下的为微型企业。</w:t>
      </w:r>
    </w:p>
    <w:p>
      <w:pPr>
        <w:ind w:firstLine="640" w:firstLineChars="200"/>
        <w:jc w:val="center"/>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p>
    <w:p>
      <w:pPr>
        <w:jc w:val="both"/>
        <w:rPr>
          <w:rFonts w:hint="eastAsia" w:ascii="方正仿宋_GBK" w:hAnsi="仿宋" w:eastAsia="方正仿宋_GBK"/>
          <w:color w:val="auto"/>
          <w:sz w:val="32"/>
          <w:szCs w:val="32"/>
        </w:rPr>
      </w:pPr>
    </w:p>
    <w:p>
      <w:pPr>
        <w:ind w:firstLine="640" w:firstLineChars="200"/>
        <w:jc w:val="center"/>
        <w:rPr>
          <w:rFonts w:hint="eastAsia" w:ascii="方正仿宋_GBK" w:hAnsi="仿宋" w:eastAsia="方正仿宋_GBK"/>
          <w:color w:val="auto"/>
          <w:sz w:val="32"/>
          <w:szCs w:val="32"/>
        </w:rPr>
      </w:pPr>
      <w:r>
        <w:rPr>
          <w:rFonts w:hint="eastAsia" w:ascii="方正仿宋_GBK" w:hAnsi="仿宋" w:eastAsia="方正仿宋_GBK"/>
          <w:color w:val="auto"/>
          <w:sz w:val="32"/>
          <w:szCs w:val="32"/>
        </w:rPr>
        <w:t>监狱企业证明文件</w:t>
      </w:r>
    </w:p>
    <w:p>
      <w:pPr>
        <w:ind w:firstLine="480" w:firstLineChars="200"/>
        <w:jc w:val="left"/>
        <w:rPr>
          <w:rFonts w:hint="eastAsia" w:ascii="方正仿宋_GBK" w:eastAsia="方正仿宋_GBK"/>
          <w:color w:val="auto"/>
        </w:rPr>
      </w:pPr>
      <w:r>
        <w:rPr>
          <w:rFonts w:hint="eastAsia" w:ascii="方正仿宋_GBK" w:hAnsi="仿宋" w:eastAsia="方正仿宋_GBK"/>
          <w:color w:val="auto"/>
          <w:sz w:val="24"/>
        </w:rPr>
        <w:t>以省级以上监狱管理局、戒毒管理局（含新疆生产建设兵团）出具的属于监狱企业的证明文件为准。</w:t>
      </w:r>
    </w:p>
    <w:p>
      <w:pPr>
        <w:ind w:firstLine="420" w:firstLineChars="200"/>
        <w:jc w:val="center"/>
        <w:rPr>
          <w:rFonts w:hint="eastAsia" w:ascii="方正仿宋_GBK" w:hAnsi="仿宋" w:eastAsia="方正仿宋_GBK"/>
          <w:color w:val="auto"/>
          <w:sz w:val="32"/>
          <w:szCs w:val="32"/>
        </w:rPr>
      </w:pPr>
      <w:r>
        <w:rPr>
          <w:rFonts w:ascii="方正仿宋_GBK" w:eastAsia="方正仿宋_GBK"/>
          <w:color w:val="auto"/>
        </w:rPr>
        <w:br w:type="page"/>
      </w:r>
      <w:r>
        <w:rPr>
          <w:rFonts w:hint="eastAsia" w:ascii="方正仿宋_GBK" w:hAnsi="仿宋" w:eastAsia="方正仿宋_GBK"/>
          <w:color w:val="auto"/>
          <w:sz w:val="32"/>
          <w:szCs w:val="32"/>
        </w:rPr>
        <w:t>残疾人福利性单位声明函</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本单位对上述声明的真实性负责。如有虚假，将依法承担相应责任。</w:t>
      </w: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p>
    <w:p>
      <w:pPr>
        <w:tabs>
          <w:tab w:val="left" w:pos="6300"/>
        </w:tabs>
        <w:snapToGrid w:val="0"/>
        <w:spacing w:line="500" w:lineRule="exact"/>
        <w:ind w:firstLine="480" w:firstLineChars="200"/>
        <w:rPr>
          <w:rFonts w:hint="eastAsia" w:ascii="方正仿宋_GBK" w:hAnsi="仿宋" w:eastAsia="方正仿宋_GBK"/>
          <w:color w:val="auto"/>
          <w:sz w:val="24"/>
        </w:rPr>
      </w:pPr>
      <w:r>
        <w:rPr>
          <w:rFonts w:hint="eastAsia" w:ascii="方正仿宋_GBK" w:hAnsi="仿宋" w:eastAsia="方正仿宋_GBK"/>
          <w:color w:val="auto"/>
          <w:sz w:val="24"/>
        </w:rPr>
        <w:t xml:space="preserve">                                                 供应商名称（盖章）：</w:t>
      </w:r>
    </w:p>
    <w:p>
      <w:pPr>
        <w:jc w:val="center"/>
        <w:rPr>
          <w:rFonts w:hint="eastAsia" w:ascii="方正仿宋_GBK" w:eastAsia="方正仿宋_GBK"/>
          <w:color w:val="auto"/>
        </w:rPr>
      </w:pPr>
      <w:r>
        <w:rPr>
          <w:rFonts w:hint="eastAsia" w:ascii="方正仿宋_GBK" w:hAnsi="仿宋" w:eastAsia="方正仿宋_GBK"/>
          <w:color w:val="auto"/>
          <w:sz w:val="24"/>
        </w:rPr>
        <w:t xml:space="preserve">                                                  日  期：</w:t>
      </w:r>
    </w:p>
    <w:p>
      <w:pPr>
        <w:rPr>
          <w:color w:val="auto"/>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BE666FA7-E795-49C2-B171-B34BD0E5BDA7}"/>
  </w:font>
  <w:font w:name="黑体">
    <w:panose1 w:val="02010609060101010101"/>
    <w:charset w:val="86"/>
    <w:family w:val="auto"/>
    <w:pitch w:val="default"/>
    <w:sig w:usb0="800002BF" w:usb1="38CF7CFA" w:usb2="00000016" w:usb3="00000000" w:csb0="00040001" w:csb1="00000000"/>
    <w:embedRegular r:id="rId2" w:fontKey="{F31A86DA-B2B5-480F-BE64-CA27EE91776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3" w:fontKey="{5E5CC334-10AE-4D3F-A72A-4A13A37EEF07}"/>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文鼎粗黑">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embedRegular r:id="rId4" w:fontKey="{0FCB6552-4C1E-4489-91EB-4821FF200637}"/>
  </w:font>
  <w:font w:name="方正小标宋简体">
    <w:panose1 w:val="02000000000000000000"/>
    <w:charset w:val="86"/>
    <w:family w:val="auto"/>
    <w:pitch w:val="default"/>
    <w:sig w:usb0="00000001" w:usb1="08000000" w:usb2="00000000" w:usb3="00000000" w:csb0="00040000" w:csb1="00000000"/>
    <w:embedRegular r:id="rId5" w:fontKey="{2DA0C7BD-B4F8-49E8-90B1-D41F81FDC6E8}"/>
  </w:font>
  <w:font w:name="方正黑体_GBK">
    <w:panose1 w:val="03000509000000000000"/>
    <w:charset w:val="86"/>
    <w:family w:val="script"/>
    <w:pitch w:val="default"/>
    <w:sig w:usb0="00000001" w:usb1="080E0000" w:usb2="00000000" w:usb3="00000000" w:csb0="00040000" w:csb1="00000000"/>
    <w:embedRegular r:id="rId6" w:fontKey="{5637152B-F2E7-48E8-9DD6-A5A7978CD101}"/>
  </w:font>
  <w:font w:name="方正小标宋_GBK">
    <w:panose1 w:val="02000000000000000000"/>
    <w:charset w:val="86"/>
    <w:family w:val="script"/>
    <w:pitch w:val="default"/>
    <w:sig w:usb0="00000001" w:usb1="080E0000" w:usb2="00000000" w:usb3="00000000" w:csb0="00040000" w:csb1="00000000"/>
    <w:embedRegular r:id="rId7" w:fontKey="{B6FA44CC-A550-40DF-A9DC-E221C2F0B3AB}"/>
  </w:font>
  <w:font w:name="微软雅黑">
    <w:panose1 w:val="020B0503020204020204"/>
    <w:charset w:val="86"/>
    <w:family w:val="auto"/>
    <w:pitch w:val="default"/>
    <w:sig w:usb0="80000287" w:usb1="280F3C52" w:usb2="00000016" w:usb3="00000000" w:csb0="0004001F" w:csb1="00000000"/>
    <w:embedRegular r:id="rId8" w:fontKey="{AE853376-CD63-4DCC-B2B4-C20630A26F5D}"/>
  </w:font>
  <w:font w:name="方正仿宋_GBK">
    <w:panose1 w:val="03000509000000000000"/>
    <w:charset w:val="86"/>
    <w:family w:val="script"/>
    <w:pitch w:val="default"/>
    <w:sig w:usb0="00000001" w:usb1="080E0000" w:usb2="00000000" w:usb3="00000000" w:csb0="00040000" w:csb1="00000000"/>
    <w:embedRegular r:id="rId9" w:fontKey="{9D5AB282-01E6-484F-B40F-7B18E6C6E026}"/>
  </w:font>
  <w:font w:name="MS Shell Dlg">
    <w:altName w:val="Microsoft Sans Serif"/>
    <w:panose1 w:val="020B0604020202020204"/>
    <w:charset w:val="00"/>
    <w:family w:val="swiss"/>
    <w:pitch w:val="default"/>
    <w:sig w:usb0="00000000" w:usb1="00000000" w:usb2="00000008" w:usb3="00000000" w:csb0="000101FF" w:csb1="00000000"/>
    <w:embedRegular r:id="rId10" w:fontKey="{B61D9F31-C682-4E0E-B1FF-F45EB249CD9B}"/>
  </w:font>
  <w:font w:name="楷体">
    <w:panose1 w:val="02010609060101010101"/>
    <w:charset w:val="86"/>
    <w:family w:val="auto"/>
    <w:pitch w:val="default"/>
    <w:sig w:usb0="800002BF" w:usb1="38CF7CFA" w:usb2="00000016" w:usb3="00000000" w:csb0="00040001" w:csb1="00000000"/>
    <w:embedRegular r:id="rId11" w:fontKey="{8A66311B-C17C-4754-AF22-1CA87BCF2A7E}"/>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5"/>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pPr>
      <w:pStyle w:val="35"/>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5"/>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5"/>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5"/>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4"/>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8"/>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1"/>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0"/>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5"/>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1"/>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3"/>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2"/>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75B0E5D0"/>
    <w:multiLevelType w:val="singleLevel"/>
    <w:tmpl w:val="75B0E5D0"/>
    <w:lvl w:ilvl="0" w:tentative="0">
      <w:start w:val="2"/>
      <w:numFmt w:val="chineseCounting"/>
      <w:suff w:val="nothing"/>
      <w:lvlText w:val="%1、"/>
      <w:lvlJc w:val="left"/>
      <w:rPr>
        <w:rFonts w:hint="eastAsia"/>
      </w:r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64705"/>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297C"/>
    <w:rsid w:val="00EF5DF7"/>
    <w:rsid w:val="00F1557E"/>
    <w:rsid w:val="00F2492A"/>
    <w:rsid w:val="00F42D01"/>
    <w:rsid w:val="00F46D9E"/>
    <w:rsid w:val="00F612D7"/>
    <w:rsid w:val="00F77324"/>
    <w:rsid w:val="00FA72A1"/>
    <w:rsid w:val="00FF1BDE"/>
    <w:rsid w:val="01067A49"/>
    <w:rsid w:val="02FE0C09"/>
    <w:rsid w:val="037759DB"/>
    <w:rsid w:val="04DA26C6"/>
    <w:rsid w:val="066C3CF1"/>
    <w:rsid w:val="06A45EA9"/>
    <w:rsid w:val="06BC1BB0"/>
    <w:rsid w:val="074B1659"/>
    <w:rsid w:val="07C5765D"/>
    <w:rsid w:val="07F26429"/>
    <w:rsid w:val="0ACF458A"/>
    <w:rsid w:val="0B6F68C5"/>
    <w:rsid w:val="0BAE21B6"/>
    <w:rsid w:val="0BDC31C7"/>
    <w:rsid w:val="0BE1258C"/>
    <w:rsid w:val="0C033E70"/>
    <w:rsid w:val="0C931BB2"/>
    <w:rsid w:val="0C975B64"/>
    <w:rsid w:val="0E0E625A"/>
    <w:rsid w:val="0E4D3D6E"/>
    <w:rsid w:val="0E5721EA"/>
    <w:rsid w:val="0E5A796A"/>
    <w:rsid w:val="0E5B6625"/>
    <w:rsid w:val="0E9859A3"/>
    <w:rsid w:val="0ECE4584"/>
    <w:rsid w:val="0F291536"/>
    <w:rsid w:val="0FAB0EE6"/>
    <w:rsid w:val="0FD61CDB"/>
    <w:rsid w:val="10246EEB"/>
    <w:rsid w:val="10340A48"/>
    <w:rsid w:val="10413B50"/>
    <w:rsid w:val="104D689B"/>
    <w:rsid w:val="109D57E0"/>
    <w:rsid w:val="125B37D8"/>
    <w:rsid w:val="134E0964"/>
    <w:rsid w:val="14B95EDB"/>
    <w:rsid w:val="14C6168E"/>
    <w:rsid w:val="15604521"/>
    <w:rsid w:val="17E52B34"/>
    <w:rsid w:val="18130842"/>
    <w:rsid w:val="18675712"/>
    <w:rsid w:val="19394057"/>
    <w:rsid w:val="19B7492C"/>
    <w:rsid w:val="1A5D7FC5"/>
    <w:rsid w:val="1B925650"/>
    <w:rsid w:val="1C0025BA"/>
    <w:rsid w:val="1CED540D"/>
    <w:rsid w:val="1CF736B7"/>
    <w:rsid w:val="1D632E00"/>
    <w:rsid w:val="1DD87EDC"/>
    <w:rsid w:val="1E9D4968"/>
    <w:rsid w:val="1F2D0A6E"/>
    <w:rsid w:val="1F6A74CC"/>
    <w:rsid w:val="1F6D6E4A"/>
    <w:rsid w:val="1FCE723D"/>
    <w:rsid w:val="20084BEF"/>
    <w:rsid w:val="203372B2"/>
    <w:rsid w:val="204C6181"/>
    <w:rsid w:val="20FB0BC7"/>
    <w:rsid w:val="2114239C"/>
    <w:rsid w:val="21C45BE8"/>
    <w:rsid w:val="21F678C9"/>
    <w:rsid w:val="21F94F0D"/>
    <w:rsid w:val="224F1BA5"/>
    <w:rsid w:val="23743B1F"/>
    <w:rsid w:val="254D6667"/>
    <w:rsid w:val="25B67319"/>
    <w:rsid w:val="25B7688A"/>
    <w:rsid w:val="25B91E1A"/>
    <w:rsid w:val="26380176"/>
    <w:rsid w:val="26A440C8"/>
    <w:rsid w:val="271E4A07"/>
    <w:rsid w:val="275D539C"/>
    <w:rsid w:val="287535CD"/>
    <w:rsid w:val="28CD4235"/>
    <w:rsid w:val="28D01566"/>
    <w:rsid w:val="28E31299"/>
    <w:rsid w:val="2A3717AC"/>
    <w:rsid w:val="2B3D6767"/>
    <w:rsid w:val="2B57565F"/>
    <w:rsid w:val="2BBD2276"/>
    <w:rsid w:val="2CF2794B"/>
    <w:rsid w:val="2E4A05E4"/>
    <w:rsid w:val="2F1F1F02"/>
    <w:rsid w:val="2F2348BD"/>
    <w:rsid w:val="2F6F1AD9"/>
    <w:rsid w:val="2FD06C0B"/>
    <w:rsid w:val="30A44277"/>
    <w:rsid w:val="30B15F03"/>
    <w:rsid w:val="30EF07A7"/>
    <w:rsid w:val="30FE6E20"/>
    <w:rsid w:val="31CA4358"/>
    <w:rsid w:val="32050A97"/>
    <w:rsid w:val="32284BF5"/>
    <w:rsid w:val="32DA1DD4"/>
    <w:rsid w:val="33323C73"/>
    <w:rsid w:val="3361798A"/>
    <w:rsid w:val="34477E1A"/>
    <w:rsid w:val="34B44507"/>
    <w:rsid w:val="35687566"/>
    <w:rsid w:val="35B15F88"/>
    <w:rsid w:val="35D501BC"/>
    <w:rsid w:val="35E87A5C"/>
    <w:rsid w:val="369E4A52"/>
    <w:rsid w:val="36A73740"/>
    <w:rsid w:val="36EC0B56"/>
    <w:rsid w:val="375A306E"/>
    <w:rsid w:val="38442273"/>
    <w:rsid w:val="38C010B0"/>
    <w:rsid w:val="391C67AE"/>
    <w:rsid w:val="39486CC3"/>
    <w:rsid w:val="39A3534F"/>
    <w:rsid w:val="3B30241A"/>
    <w:rsid w:val="3B870893"/>
    <w:rsid w:val="3C4F6F1A"/>
    <w:rsid w:val="3D4C1E7B"/>
    <w:rsid w:val="3DD60FEB"/>
    <w:rsid w:val="3E263CAA"/>
    <w:rsid w:val="3E491747"/>
    <w:rsid w:val="3E6B192F"/>
    <w:rsid w:val="3EA55BAC"/>
    <w:rsid w:val="3EEF12C4"/>
    <w:rsid w:val="3F591E5E"/>
    <w:rsid w:val="40113C23"/>
    <w:rsid w:val="403F2E01"/>
    <w:rsid w:val="404A2E64"/>
    <w:rsid w:val="40AB0EC9"/>
    <w:rsid w:val="40CE1CA0"/>
    <w:rsid w:val="40E52488"/>
    <w:rsid w:val="41007A8F"/>
    <w:rsid w:val="415869FC"/>
    <w:rsid w:val="41AB14E8"/>
    <w:rsid w:val="41D67141"/>
    <w:rsid w:val="42030507"/>
    <w:rsid w:val="420A020E"/>
    <w:rsid w:val="429D5EC0"/>
    <w:rsid w:val="444565A3"/>
    <w:rsid w:val="44CD5CF8"/>
    <w:rsid w:val="461B60BF"/>
    <w:rsid w:val="46C96141"/>
    <w:rsid w:val="475461C4"/>
    <w:rsid w:val="477A0BC3"/>
    <w:rsid w:val="47F3755A"/>
    <w:rsid w:val="48FA020D"/>
    <w:rsid w:val="492C6FBB"/>
    <w:rsid w:val="499D1F70"/>
    <w:rsid w:val="4A1025A8"/>
    <w:rsid w:val="4AC26B09"/>
    <w:rsid w:val="4AD41B9B"/>
    <w:rsid w:val="4AED1C9D"/>
    <w:rsid w:val="4BE8259F"/>
    <w:rsid w:val="4C4E289A"/>
    <w:rsid w:val="4DD75684"/>
    <w:rsid w:val="4E231003"/>
    <w:rsid w:val="4EF70D4B"/>
    <w:rsid w:val="4F2E0C11"/>
    <w:rsid w:val="4F79418A"/>
    <w:rsid w:val="50B9275C"/>
    <w:rsid w:val="50FE286B"/>
    <w:rsid w:val="514069D9"/>
    <w:rsid w:val="51D77CAA"/>
    <w:rsid w:val="52ED493F"/>
    <w:rsid w:val="531F0FF7"/>
    <w:rsid w:val="546107D9"/>
    <w:rsid w:val="55297C80"/>
    <w:rsid w:val="56644F18"/>
    <w:rsid w:val="56FF2E93"/>
    <w:rsid w:val="571613BB"/>
    <w:rsid w:val="58B574EB"/>
    <w:rsid w:val="58FC1D80"/>
    <w:rsid w:val="59250298"/>
    <w:rsid w:val="593509FB"/>
    <w:rsid w:val="59893E96"/>
    <w:rsid w:val="59E56370"/>
    <w:rsid w:val="5B3E21DC"/>
    <w:rsid w:val="5B4A5024"/>
    <w:rsid w:val="5BC414F3"/>
    <w:rsid w:val="5C205868"/>
    <w:rsid w:val="5CAE15E3"/>
    <w:rsid w:val="5D290C69"/>
    <w:rsid w:val="5F3F2DAC"/>
    <w:rsid w:val="5FB15C3A"/>
    <w:rsid w:val="6022194E"/>
    <w:rsid w:val="60D65D3F"/>
    <w:rsid w:val="60F4333C"/>
    <w:rsid w:val="611A50B4"/>
    <w:rsid w:val="619C43F3"/>
    <w:rsid w:val="6269072D"/>
    <w:rsid w:val="62A30CCB"/>
    <w:rsid w:val="62DC3850"/>
    <w:rsid w:val="6383661E"/>
    <w:rsid w:val="645A13DB"/>
    <w:rsid w:val="656A40F1"/>
    <w:rsid w:val="667E25AF"/>
    <w:rsid w:val="66815672"/>
    <w:rsid w:val="68D66AE8"/>
    <w:rsid w:val="6972525B"/>
    <w:rsid w:val="69FC5E8B"/>
    <w:rsid w:val="6B217424"/>
    <w:rsid w:val="6B28360F"/>
    <w:rsid w:val="6B9F4D55"/>
    <w:rsid w:val="6BAA3DD9"/>
    <w:rsid w:val="6CE50E23"/>
    <w:rsid w:val="6DC70D5C"/>
    <w:rsid w:val="6E0B5F08"/>
    <w:rsid w:val="6E45126B"/>
    <w:rsid w:val="6F062BB9"/>
    <w:rsid w:val="6F213E8F"/>
    <w:rsid w:val="70E64A50"/>
    <w:rsid w:val="71231A63"/>
    <w:rsid w:val="73395878"/>
    <w:rsid w:val="739465A0"/>
    <w:rsid w:val="73B34AD5"/>
    <w:rsid w:val="76235B76"/>
    <w:rsid w:val="77452BA0"/>
    <w:rsid w:val="77B52272"/>
    <w:rsid w:val="783A1618"/>
    <w:rsid w:val="788222E3"/>
    <w:rsid w:val="7908485F"/>
    <w:rsid w:val="7936053E"/>
    <w:rsid w:val="793F0B2C"/>
    <w:rsid w:val="797D07AB"/>
    <w:rsid w:val="79AC25AE"/>
    <w:rsid w:val="7B306E47"/>
    <w:rsid w:val="7C3F595C"/>
    <w:rsid w:val="7C683BAE"/>
    <w:rsid w:val="7CBD0742"/>
    <w:rsid w:val="7D7D55A3"/>
    <w:rsid w:val="7E3C60AD"/>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8"/>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69"/>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0"/>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1"/>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2"/>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3"/>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4"/>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5"/>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6"/>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0">
    <w:name w:val="Default Paragraph Font"/>
    <w:autoRedefine/>
    <w:unhideWhenUsed/>
    <w:qFormat/>
    <w:uiPriority w:val="1"/>
  </w:style>
  <w:style w:type="table" w:default="1" w:styleId="58">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8"/>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0"/>
    <w:autoRedefine/>
    <w:unhideWhenUsed/>
    <w:qFormat/>
    <w:uiPriority w:val="0"/>
    <w:pPr>
      <w:jc w:val="left"/>
    </w:pPr>
  </w:style>
  <w:style w:type="paragraph" w:styleId="20">
    <w:name w:val="Body Text 3"/>
    <w:basedOn w:val="1"/>
    <w:link w:val="121"/>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1"/>
    <w:link w:val="123"/>
    <w:autoRedefine/>
    <w:qFormat/>
    <w:uiPriority w:val="0"/>
    <w:rPr>
      <w:rFonts w:ascii="仿宋_GB2312" w:hAnsi="Times New Roman" w:eastAsia="仿宋_GB2312" w:cs="Times New Roman"/>
      <w:sz w:val="32"/>
      <w:szCs w:val="20"/>
    </w:rPr>
  </w:style>
  <w:style w:type="paragraph" w:styleId="23">
    <w:name w:val="Body Text Indent"/>
    <w:basedOn w:val="1"/>
    <w:link w:val="104"/>
    <w:autoRedefine/>
    <w:qFormat/>
    <w:uiPriority w:val="0"/>
    <w:pPr>
      <w:spacing w:line="700" w:lineRule="exact"/>
      <w:ind w:left="960"/>
    </w:pPr>
    <w:rPr>
      <w:sz w:val="44"/>
    </w:rPr>
  </w:style>
  <w:style w:type="paragraph" w:styleId="24">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5">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6">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7">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8">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29">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0">
    <w:name w:val="Plain Text"/>
    <w:basedOn w:val="1"/>
    <w:link w:val="91"/>
    <w:autoRedefine/>
    <w:qFormat/>
    <w:uiPriority w:val="0"/>
    <w:rPr>
      <w:rFonts w:ascii="宋体" w:hAnsi="Courier New"/>
    </w:rPr>
  </w:style>
  <w:style w:type="paragraph" w:styleId="31">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2">
    <w:name w:val="Date"/>
    <w:basedOn w:val="1"/>
    <w:next w:val="1"/>
    <w:link w:val="107"/>
    <w:autoRedefine/>
    <w:qFormat/>
    <w:uiPriority w:val="0"/>
    <w:rPr>
      <w:sz w:val="28"/>
    </w:rPr>
  </w:style>
  <w:style w:type="paragraph" w:styleId="33">
    <w:name w:val="Body Text Indent 2"/>
    <w:basedOn w:val="1"/>
    <w:link w:val="77"/>
    <w:autoRedefine/>
    <w:qFormat/>
    <w:uiPriority w:val="0"/>
    <w:pPr>
      <w:snapToGrid w:val="0"/>
      <w:spacing w:line="560" w:lineRule="atLeast"/>
      <w:ind w:firstLine="540"/>
    </w:pPr>
    <w:rPr>
      <w:sz w:val="28"/>
    </w:rPr>
  </w:style>
  <w:style w:type="paragraph" w:styleId="34">
    <w:name w:val="Balloon Text"/>
    <w:basedOn w:val="1"/>
    <w:link w:val="132"/>
    <w:autoRedefine/>
    <w:qFormat/>
    <w:uiPriority w:val="0"/>
    <w:rPr>
      <w:rFonts w:ascii="Times New Roman" w:hAnsi="Times New Roman" w:eastAsia="宋体" w:cs="Times New Roman"/>
      <w:sz w:val="18"/>
      <w:szCs w:val="20"/>
    </w:rPr>
  </w:style>
  <w:style w:type="paragraph" w:styleId="35">
    <w:name w:val="footer"/>
    <w:basedOn w:val="1"/>
    <w:link w:val="105"/>
    <w:autoRedefine/>
    <w:qFormat/>
    <w:uiPriority w:val="99"/>
    <w:pPr>
      <w:tabs>
        <w:tab w:val="center" w:pos="4153"/>
        <w:tab w:val="right" w:pos="8306"/>
      </w:tabs>
      <w:snapToGrid w:val="0"/>
      <w:jc w:val="left"/>
    </w:pPr>
    <w:rPr>
      <w:sz w:val="18"/>
    </w:rPr>
  </w:style>
  <w:style w:type="paragraph" w:styleId="36">
    <w:name w:val="header"/>
    <w:basedOn w:val="1"/>
    <w:link w:val="116"/>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7">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8">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39">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0">
    <w:name w:val="footnote text"/>
    <w:basedOn w:val="1"/>
    <w:link w:val="78"/>
    <w:autoRedefine/>
    <w:qFormat/>
    <w:uiPriority w:val="0"/>
    <w:pPr>
      <w:spacing w:line="360" w:lineRule="auto"/>
    </w:pPr>
    <w:rPr>
      <w:sz w:val="18"/>
    </w:rPr>
  </w:style>
  <w:style w:type="paragraph" w:styleId="41">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2">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3">
    <w:name w:val="Body Text Indent 3"/>
    <w:basedOn w:val="1"/>
    <w:link w:val="120"/>
    <w:autoRedefine/>
    <w:qFormat/>
    <w:uiPriority w:val="0"/>
    <w:pPr>
      <w:spacing w:line="360" w:lineRule="auto"/>
      <w:ind w:firstLine="632"/>
    </w:pPr>
    <w:rPr>
      <w:rFonts w:ascii="黑体" w:hAnsi="Times New Roman" w:eastAsia="黑体" w:cs="Times New Roman"/>
      <w:sz w:val="28"/>
      <w:szCs w:val="20"/>
    </w:rPr>
  </w:style>
  <w:style w:type="paragraph" w:styleId="44">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5">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6">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7">
    <w:name w:val="Body Text 2"/>
    <w:basedOn w:val="1"/>
    <w:link w:val="122"/>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8">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49">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0">
    <w:name w:val="HTML Preformatted"/>
    <w:basedOn w:val="1"/>
    <w:link w:val="113"/>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1">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2">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3">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4">
    <w:name w:val="Title"/>
    <w:basedOn w:val="1"/>
    <w:link w:val="126"/>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5">
    <w:name w:val="annotation subject"/>
    <w:basedOn w:val="19"/>
    <w:next w:val="19"/>
    <w:link w:val="79"/>
    <w:autoRedefine/>
    <w:qFormat/>
    <w:uiPriority w:val="0"/>
    <w:rPr>
      <w:sz w:val="24"/>
    </w:rPr>
  </w:style>
  <w:style w:type="paragraph" w:styleId="56">
    <w:name w:val="Body Text First Indent"/>
    <w:basedOn w:val="1"/>
    <w:link w:val="133"/>
    <w:autoRedefine/>
    <w:qFormat/>
    <w:uiPriority w:val="0"/>
    <w:pPr>
      <w:spacing w:line="360" w:lineRule="auto"/>
      <w:ind w:firstLine="420"/>
    </w:pPr>
    <w:rPr>
      <w:rFonts w:ascii="宋体" w:hAnsi="宋体" w:eastAsia="宋体" w:cs="Times New Roman"/>
      <w:sz w:val="24"/>
      <w:szCs w:val="20"/>
    </w:rPr>
  </w:style>
  <w:style w:type="paragraph" w:styleId="57">
    <w:name w:val="Body Text First Indent 2"/>
    <w:basedOn w:val="23"/>
    <w:link w:val="103"/>
    <w:autoRedefine/>
    <w:qFormat/>
    <w:uiPriority w:val="0"/>
    <w:pPr>
      <w:spacing w:after="120" w:line="240" w:lineRule="auto"/>
      <w:ind w:left="420" w:leftChars="200" w:firstLine="420" w:firstLineChars="200"/>
    </w:pPr>
  </w:style>
  <w:style w:type="table" w:styleId="59">
    <w:name w:val="Table Grid"/>
    <w:basedOn w:val="58"/>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1">
    <w:name w:val="Strong"/>
    <w:autoRedefine/>
    <w:qFormat/>
    <w:uiPriority w:val="0"/>
    <w:rPr>
      <w:b/>
    </w:rPr>
  </w:style>
  <w:style w:type="character" w:styleId="62">
    <w:name w:val="page number"/>
    <w:basedOn w:val="60"/>
    <w:autoRedefine/>
    <w:qFormat/>
    <w:uiPriority w:val="0"/>
  </w:style>
  <w:style w:type="character" w:styleId="63">
    <w:name w:val="FollowedHyperlink"/>
    <w:autoRedefine/>
    <w:qFormat/>
    <w:uiPriority w:val="0"/>
    <w:rPr>
      <w:color w:val="800080"/>
      <w:u w:val="single"/>
    </w:rPr>
  </w:style>
  <w:style w:type="character" w:styleId="64">
    <w:name w:val="Emphasis"/>
    <w:autoRedefine/>
    <w:qFormat/>
    <w:uiPriority w:val="0"/>
    <w:rPr>
      <w:i/>
    </w:rPr>
  </w:style>
  <w:style w:type="character" w:styleId="65">
    <w:name w:val="Hyperlink"/>
    <w:autoRedefine/>
    <w:qFormat/>
    <w:uiPriority w:val="99"/>
    <w:rPr>
      <w:color w:val="0000FF"/>
      <w:u w:val="single"/>
    </w:rPr>
  </w:style>
  <w:style w:type="character" w:styleId="66">
    <w:name w:val="annotation reference"/>
    <w:autoRedefine/>
    <w:qFormat/>
    <w:uiPriority w:val="0"/>
    <w:rPr>
      <w:sz w:val="21"/>
      <w:szCs w:val="21"/>
    </w:rPr>
  </w:style>
  <w:style w:type="character" w:styleId="67">
    <w:name w:val="footnote reference"/>
    <w:autoRedefine/>
    <w:qFormat/>
    <w:uiPriority w:val="0"/>
    <w:rPr>
      <w:position w:val="6"/>
      <w:sz w:val="14"/>
      <w:vertAlign w:val="superscript"/>
    </w:rPr>
  </w:style>
  <w:style w:type="character" w:customStyle="1" w:styleId="68">
    <w:name w:val="标题 1 Char"/>
    <w:basedOn w:val="60"/>
    <w:link w:val="2"/>
    <w:autoRedefine/>
    <w:qFormat/>
    <w:uiPriority w:val="0"/>
    <w:rPr>
      <w:rFonts w:ascii="宋体" w:hAnsi="Times New Roman" w:eastAsia="宋体" w:cs="Times New Roman"/>
      <w:sz w:val="28"/>
      <w:szCs w:val="20"/>
    </w:rPr>
  </w:style>
  <w:style w:type="character" w:customStyle="1" w:styleId="69">
    <w:name w:val="标题 2 Char"/>
    <w:basedOn w:val="60"/>
    <w:link w:val="3"/>
    <w:autoRedefine/>
    <w:qFormat/>
    <w:uiPriority w:val="0"/>
    <w:rPr>
      <w:rFonts w:ascii="Arial" w:hAnsi="Arial" w:eastAsia="黑体" w:cs="Times New Roman"/>
      <w:b/>
      <w:sz w:val="32"/>
      <w:szCs w:val="20"/>
    </w:rPr>
  </w:style>
  <w:style w:type="character" w:customStyle="1" w:styleId="70">
    <w:name w:val="标题 3 Char"/>
    <w:basedOn w:val="60"/>
    <w:link w:val="4"/>
    <w:autoRedefine/>
    <w:qFormat/>
    <w:uiPriority w:val="0"/>
    <w:rPr>
      <w:rFonts w:ascii="Times New Roman" w:hAnsi="Times New Roman" w:eastAsia="宋体" w:cs="Times New Roman"/>
      <w:b/>
      <w:sz w:val="32"/>
      <w:szCs w:val="20"/>
    </w:rPr>
  </w:style>
  <w:style w:type="character" w:customStyle="1" w:styleId="71">
    <w:name w:val="标题 4 Char"/>
    <w:basedOn w:val="60"/>
    <w:link w:val="5"/>
    <w:autoRedefine/>
    <w:qFormat/>
    <w:uiPriority w:val="0"/>
    <w:rPr>
      <w:rFonts w:ascii="Arial" w:hAnsi="Arial" w:eastAsia="黑体" w:cs="Times New Roman"/>
      <w:b/>
      <w:sz w:val="28"/>
      <w:szCs w:val="20"/>
    </w:rPr>
  </w:style>
  <w:style w:type="character" w:customStyle="1" w:styleId="72">
    <w:name w:val="标题 5 Char"/>
    <w:basedOn w:val="60"/>
    <w:link w:val="6"/>
    <w:autoRedefine/>
    <w:qFormat/>
    <w:uiPriority w:val="0"/>
    <w:rPr>
      <w:rFonts w:ascii="Times New Roman" w:hAnsi="Times New Roman" w:eastAsia="宋体" w:cs="Times New Roman"/>
      <w:b/>
      <w:sz w:val="28"/>
      <w:szCs w:val="20"/>
    </w:rPr>
  </w:style>
  <w:style w:type="character" w:customStyle="1" w:styleId="73">
    <w:name w:val="标题 6 Char"/>
    <w:basedOn w:val="60"/>
    <w:link w:val="7"/>
    <w:autoRedefine/>
    <w:qFormat/>
    <w:uiPriority w:val="0"/>
    <w:rPr>
      <w:rFonts w:ascii="Arial" w:hAnsi="Arial" w:eastAsia="黑体" w:cs="Times New Roman"/>
      <w:b/>
      <w:sz w:val="24"/>
      <w:szCs w:val="20"/>
    </w:rPr>
  </w:style>
  <w:style w:type="character" w:customStyle="1" w:styleId="74">
    <w:name w:val="标题 7 Char"/>
    <w:basedOn w:val="60"/>
    <w:link w:val="8"/>
    <w:autoRedefine/>
    <w:qFormat/>
    <w:uiPriority w:val="0"/>
    <w:rPr>
      <w:rFonts w:ascii="Arial" w:hAnsi="Arial" w:eastAsia="黑体" w:cs="Times New Roman"/>
      <w:b/>
      <w:sz w:val="24"/>
      <w:szCs w:val="20"/>
    </w:rPr>
  </w:style>
  <w:style w:type="character" w:customStyle="1" w:styleId="75">
    <w:name w:val="标题 8 Char"/>
    <w:basedOn w:val="60"/>
    <w:link w:val="9"/>
    <w:autoRedefine/>
    <w:qFormat/>
    <w:uiPriority w:val="0"/>
    <w:rPr>
      <w:rFonts w:ascii="Arial" w:hAnsi="Arial" w:eastAsia="黑体" w:cs="Times New Roman"/>
      <w:b/>
      <w:sz w:val="24"/>
      <w:szCs w:val="20"/>
    </w:rPr>
  </w:style>
  <w:style w:type="character" w:customStyle="1" w:styleId="76">
    <w:name w:val="标题 9 Char"/>
    <w:basedOn w:val="60"/>
    <w:link w:val="10"/>
    <w:autoRedefine/>
    <w:qFormat/>
    <w:uiPriority w:val="0"/>
    <w:rPr>
      <w:rFonts w:ascii="Arial" w:hAnsi="Arial" w:eastAsia="黑体" w:cs="Times New Roman"/>
      <w:b/>
      <w:sz w:val="24"/>
      <w:szCs w:val="20"/>
    </w:rPr>
  </w:style>
  <w:style w:type="character" w:customStyle="1" w:styleId="77">
    <w:name w:val="正文文本缩进 2 Char"/>
    <w:link w:val="33"/>
    <w:autoRedefine/>
    <w:qFormat/>
    <w:uiPriority w:val="0"/>
    <w:rPr>
      <w:sz w:val="28"/>
    </w:rPr>
  </w:style>
  <w:style w:type="character" w:customStyle="1" w:styleId="78">
    <w:name w:val="脚注文本 Char"/>
    <w:link w:val="40"/>
    <w:autoRedefine/>
    <w:qFormat/>
    <w:uiPriority w:val="0"/>
    <w:rPr>
      <w:sz w:val="18"/>
    </w:rPr>
  </w:style>
  <w:style w:type="character" w:customStyle="1" w:styleId="79">
    <w:name w:val="批注主题 Char"/>
    <w:basedOn w:val="80"/>
    <w:link w:val="55"/>
    <w:autoRedefine/>
    <w:qFormat/>
    <w:uiPriority w:val="0"/>
    <w:rPr>
      <w:sz w:val="24"/>
    </w:rPr>
  </w:style>
  <w:style w:type="character" w:customStyle="1" w:styleId="80">
    <w:name w:val="批注文字 Char"/>
    <w:autoRedefine/>
    <w:qFormat/>
    <w:uiPriority w:val="0"/>
    <w:rPr>
      <w:sz w:val="24"/>
    </w:rPr>
  </w:style>
  <w:style w:type="character" w:customStyle="1" w:styleId="81">
    <w:name w:val="Char Char4"/>
    <w:autoRedefine/>
    <w:qFormat/>
    <w:uiPriority w:val="0"/>
    <w:rPr>
      <w:rFonts w:eastAsia="宋体"/>
      <w:b/>
      <w:kern w:val="2"/>
      <w:sz w:val="21"/>
      <w:lang w:val="en-US" w:eastAsia="zh-CN"/>
    </w:rPr>
  </w:style>
  <w:style w:type="character" w:customStyle="1" w:styleId="82">
    <w:name w:val="文字 Char"/>
    <w:link w:val="83"/>
    <w:autoRedefine/>
    <w:qFormat/>
    <w:uiPriority w:val="0"/>
    <w:rPr>
      <w:rFonts w:ascii="宋体"/>
      <w:sz w:val="28"/>
    </w:rPr>
  </w:style>
  <w:style w:type="paragraph" w:customStyle="1" w:styleId="83">
    <w:name w:val="文字"/>
    <w:basedOn w:val="1"/>
    <w:link w:val="82"/>
    <w:autoRedefine/>
    <w:qFormat/>
    <w:uiPriority w:val="0"/>
    <w:pPr>
      <w:tabs>
        <w:tab w:val="left" w:pos="8520"/>
      </w:tabs>
      <w:spacing w:line="312" w:lineRule="auto"/>
      <w:ind w:right="-210" w:firstLine="556"/>
    </w:pPr>
    <w:rPr>
      <w:rFonts w:ascii="宋体"/>
      <w:sz w:val="28"/>
    </w:rPr>
  </w:style>
  <w:style w:type="character" w:customStyle="1" w:styleId="84">
    <w:name w:val="content-white1"/>
    <w:autoRedefine/>
    <w:qFormat/>
    <w:uiPriority w:val="0"/>
    <w:rPr>
      <w:color w:val="auto"/>
      <w:sz w:val="18"/>
      <w:u w:val="none"/>
    </w:rPr>
  </w:style>
  <w:style w:type="character" w:customStyle="1" w:styleId="85">
    <w:name w:val="top-det1"/>
    <w:autoRedefine/>
    <w:qFormat/>
    <w:uiPriority w:val="0"/>
    <w:rPr>
      <w:b/>
      <w:color w:val="000000"/>
    </w:rPr>
  </w:style>
  <w:style w:type="character" w:customStyle="1" w:styleId="86">
    <w:name w:val="正文 + 三号 Char"/>
    <w:autoRedefine/>
    <w:qFormat/>
    <w:uiPriority w:val="0"/>
    <w:rPr>
      <w:rFonts w:eastAsia="宋体"/>
      <w:kern w:val="2"/>
      <w:sz w:val="21"/>
      <w:lang w:val="en-US" w:eastAsia="zh-CN"/>
    </w:rPr>
  </w:style>
  <w:style w:type="character" w:customStyle="1" w:styleId="87">
    <w:name w:val="Char Char11"/>
    <w:autoRedefine/>
    <w:qFormat/>
    <w:uiPriority w:val="0"/>
    <w:rPr>
      <w:rFonts w:ascii="宋体"/>
      <w:kern w:val="2"/>
      <w:sz w:val="28"/>
    </w:rPr>
  </w:style>
  <w:style w:type="character" w:customStyle="1" w:styleId="88">
    <w:name w:val="Char Char6"/>
    <w:autoRedefine/>
    <w:qFormat/>
    <w:uiPriority w:val="0"/>
    <w:rPr>
      <w:rFonts w:ascii="仿宋_GB2312" w:eastAsia="仿宋_GB2312"/>
      <w:kern w:val="2"/>
      <w:sz w:val="32"/>
    </w:rPr>
  </w:style>
  <w:style w:type="character" w:customStyle="1" w:styleId="89">
    <w:name w:val="Char Char5"/>
    <w:autoRedefine/>
    <w:qFormat/>
    <w:uiPriority w:val="0"/>
    <w:rPr>
      <w:rFonts w:ascii="Arial" w:hAnsi="Arial" w:eastAsia="宋体"/>
      <w:b/>
      <w:smallCaps/>
      <w:kern w:val="28"/>
      <w:sz w:val="36"/>
      <w:lang w:val="en-US" w:eastAsia="en-US"/>
    </w:rPr>
  </w:style>
  <w:style w:type="character" w:customStyle="1" w:styleId="90">
    <w:name w:val="标书正文:  0.74 厘米 Char1"/>
    <w:autoRedefine/>
    <w:qFormat/>
    <w:uiPriority w:val="0"/>
    <w:rPr>
      <w:rFonts w:eastAsia="宋体"/>
      <w:kern w:val="2"/>
      <w:sz w:val="24"/>
      <w:lang w:val="en-US" w:eastAsia="zh-CN"/>
    </w:rPr>
  </w:style>
  <w:style w:type="character" w:customStyle="1" w:styleId="91">
    <w:name w:val="纯文本 Char"/>
    <w:link w:val="30"/>
    <w:autoRedefine/>
    <w:qFormat/>
    <w:uiPriority w:val="0"/>
    <w:rPr>
      <w:rFonts w:ascii="宋体" w:hAnsi="Courier New"/>
    </w:rPr>
  </w:style>
  <w:style w:type="character" w:customStyle="1" w:styleId="92">
    <w:name w:val="crowed11"/>
    <w:autoRedefine/>
    <w:qFormat/>
    <w:uiPriority w:val="0"/>
    <w:rPr>
      <w:rFonts w:hint="default"/>
      <w:sz w:val="24"/>
    </w:rPr>
  </w:style>
  <w:style w:type="character" w:customStyle="1" w:styleId="93">
    <w:name w:val="Table Text Char Char Char Char"/>
    <w:link w:val="94"/>
    <w:autoRedefine/>
    <w:qFormat/>
    <w:uiPriority w:val="0"/>
    <w:rPr>
      <w:rFonts w:ascii="Arial" w:hAnsi="Arial"/>
      <w:sz w:val="18"/>
    </w:rPr>
  </w:style>
  <w:style w:type="paragraph" w:customStyle="1" w:styleId="94">
    <w:name w:val="Table Text Char Char Char"/>
    <w:link w:val="93"/>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5">
    <w:name w:val="Char Char7"/>
    <w:autoRedefine/>
    <w:qFormat/>
    <w:uiPriority w:val="0"/>
    <w:rPr>
      <w:rFonts w:ascii="宋体" w:hAnsi="宋体" w:eastAsia="宋体"/>
      <w:kern w:val="2"/>
      <w:sz w:val="28"/>
    </w:rPr>
  </w:style>
  <w:style w:type="character" w:customStyle="1" w:styleId="96">
    <w:name w:val="未命名11"/>
    <w:autoRedefine/>
    <w:qFormat/>
    <w:uiPriority w:val="0"/>
    <w:rPr>
      <w:color w:val="77FFFF"/>
      <w:sz w:val="24"/>
    </w:rPr>
  </w:style>
  <w:style w:type="character" w:customStyle="1" w:styleId="97">
    <w:name w:val="小 Char"/>
    <w:autoRedefine/>
    <w:qFormat/>
    <w:uiPriority w:val="0"/>
    <w:rPr>
      <w:rFonts w:ascii="宋体" w:hAnsi="Courier New" w:eastAsia="宋体"/>
      <w:kern w:val="2"/>
      <w:sz w:val="21"/>
      <w:lang w:val="en-US" w:eastAsia="zh-CN" w:bidi="ar-SA"/>
    </w:rPr>
  </w:style>
  <w:style w:type="character" w:customStyle="1" w:styleId="98">
    <w:name w:val="Char Char3"/>
    <w:autoRedefine/>
    <w:qFormat/>
    <w:uiPriority w:val="0"/>
    <w:rPr>
      <w:rFonts w:eastAsia="宋体"/>
      <w:kern w:val="2"/>
      <w:sz w:val="18"/>
      <w:lang w:val="en-US" w:eastAsia="zh-CN"/>
    </w:rPr>
  </w:style>
  <w:style w:type="character" w:customStyle="1" w:styleId="99">
    <w:name w:val="title_emph1"/>
    <w:autoRedefine/>
    <w:qFormat/>
    <w:uiPriority w:val="0"/>
    <w:rPr>
      <w:rFonts w:hint="default" w:ascii="Arial" w:hAnsi="Arial"/>
      <w:b/>
      <w:sz w:val="20"/>
    </w:rPr>
  </w:style>
  <w:style w:type="character" w:customStyle="1" w:styleId="100">
    <w:name w:val="Table Text Char"/>
    <w:link w:val="101"/>
    <w:autoRedefine/>
    <w:qFormat/>
    <w:uiPriority w:val="0"/>
    <w:rPr>
      <w:rFonts w:ascii="Arial" w:hAnsi="Arial"/>
      <w:sz w:val="18"/>
    </w:rPr>
  </w:style>
  <w:style w:type="paragraph" w:customStyle="1" w:styleId="101">
    <w:name w:val="Table Text"/>
    <w:link w:val="100"/>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2">
    <w:name w:val="样式 宋体"/>
    <w:autoRedefine/>
    <w:qFormat/>
    <w:uiPriority w:val="0"/>
    <w:rPr>
      <w:rFonts w:ascii="宋体" w:hAnsi="宋体" w:eastAsia="宋体"/>
      <w:sz w:val="28"/>
    </w:rPr>
  </w:style>
  <w:style w:type="character" w:customStyle="1" w:styleId="103">
    <w:name w:val="正文首行缩进 2 Char"/>
    <w:basedOn w:val="104"/>
    <w:link w:val="57"/>
    <w:autoRedefine/>
    <w:qFormat/>
    <w:uiPriority w:val="0"/>
    <w:rPr>
      <w:sz w:val="44"/>
    </w:rPr>
  </w:style>
  <w:style w:type="character" w:customStyle="1" w:styleId="104">
    <w:name w:val="正文文本缩进 Char"/>
    <w:link w:val="23"/>
    <w:autoRedefine/>
    <w:qFormat/>
    <w:uiPriority w:val="0"/>
    <w:rPr>
      <w:sz w:val="44"/>
    </w:rPr>
  </w:style>
  <w:style w:type="character" w:customStyle="1" w:styleId="105">
    <w:name w:val="页脚 Char"/>
    <w:link w:val="35"/>
    <w:autoRedefine/>
    <w:qFormat/>
    <w:uiPriority w:val="99"/>
    <w:rPr>
      <w:sz w:val="18"/>
    </w:rPr>
  </w:style>
  <w:style w:type="character" w:customStyle="1" w:styleId="106">
    <w:name w:val="Table Heading Char Char"/>
    <w:autoRedefine/>
    <w:qFormat/>
    <w:uiPriority w:val="0"/>
    <w:rPr>
      <w:rFonts w:ascii="Arial" w:hAnsi="Arial" w:eastAsia="黑体"/>
      <w:kern w:val="2"/>
      <w:sz w:val="18"/>
      <w:lang w:val="en-US" w:eastAsia="zh-CN"/>
    </w:rPr>
  </w:style>
  <w:style w:type="character" w:customStyle="1" w:styleId="107">
    <w:name w:val="日期 Char"/>
    <w:link w:val="32"/>
    <w:autoRedefine/>
    <w:qFormat/>
    <w:uiPriority w:val="0"/>
    <w:rPr>
      <w:sz w:val="28"/>
    </w:rPr>
  </w:style>
  <w:style w:type="character" w:customStyle="1" w:styleId="108">
    <w:name w:val="font1"/>
    <w:autoRedefine/>
    <w:qFormat/>
    <w:uiPriority w:val="0"/>
    <w:rPr>
      <w:color w:val="000000"/>
      <w:sz w:val="18"/>
    </w:rPr>
  </w:style>
  <w:style w:type="character" w:customStyle="1" w:styleId="109">
    <w:name w:val="Char Char2"/>
    <w:autoRedefine/>
    <w:qFormat/>
    <w:uiPriority w:val="0"/>
    <w:rPr>
      <w:rFonts w:eastAsia="宋体"/>
      <w:kern w:val="2"/>
      <w:sz w:val="18"/>
      <w:lang w:val="en-US" w:eastAsia="zh-CN"/>
    </w:rPr>
  </w:style>
  <w:style w:type="character" w:customStyle="1" w:styleId="110">
    <w:name w:val="H2 Char"/>
    <w:autoRedefine/>
    <w:qFormat/>
    <w:uiPriority w:val="0"/>
    <w:rPr>
      <w:rFonts w:ascii="Arial" w:hAnsi="Arial" w:eastAsia="宋体"/>
      <w:kern w:val="2"/>
      <w:sz w:val="28"/>
      <w:lang w:val="en-US" w:eastAsia="zh-CN"/>
    </w:rPr>
  </w:style>
  <w:style w:type="character" w:customStyle="1" w:styleId="111">
    <w:name w:val="v151"/>
    <w:autoRedefine/>
    <w:qFormat/>
    <w:uiPriority w:val="0"/>
    <w:rPr>
      <w:sz w:val="18"/>
    </w:rPr>
  </w:style>
  <w:style w:type="character" w:customStyle="1" w:styleId="112">
    <w:name w:val="Table Text Char1 Char"/>
    <w:autoRedefine/>
    <w:qFormat/>
    <w:uiPriority w:val="0"/>
    <w:rPr>
      <w:rFonts w:ascii="Arial" w:hAnsi="Arial"/>
      <w:kern w:val="2"/>
      <w:sz w:val="18"/>
      <w:lang w:val="en-US" w:eastAsia="zh-CN" w:bidi="ar-SA"/>
    </w:rPr>
  </w:style>
  <w:style w:type="character" w:customStyle="1" w:styleId="113">
    <w:name w:val="HTML 预设格式 Char"/>
    <w:link w:val="50"/>
    <w:autoRedefine/>
    <w:qFormat/>
    <w:uiPriority w:val="0"/>
    <w:rPr>
      <w:rFonts w:ascii="宋体" w:hAnsi="宋体" w:cs="宋体"/>
      <w:sz w:val="24"/>
      <w:szCs w:val="24"/>
    </w:rPr>
  </w:style>
  <w:style w:type="character" w:customStyle="1" w:styleId="114">
    <w:name w:val="Char Char"/>
    <w:autoRedefine/>
    <w:qFormat/>
    <w:uiPriority w:val="0"/>
    <w:rPr>
      <w:rFonts w:ascii="宋体" w:hAnsi="宋体" w:eastAsia="宋体"/>
      <w:kern w:val="2"/>
      <w:sz w:val="24"/>
      <w:lang w:val="en-US" w:eastAsia="zh-CN" w:bidi="ar-SA"/>
    </w:rPr>
  </w:style>
  <w:style w:type="character" w:customStyle="1" w:styleId="115">
    <w:name w:val="脚注文本 Char1"/>
    <w:basedOn w:val="60"/>
    <w:autoRedefine/>
    <w:semiHidden/>
    <w:qFormat/>
    <w:uiPriority w:val="99"/>
    <w:rPr>
      <w:sz w:val="18"/>
      <w:szCs w:val="18"/>
    </w:rPr>
  </w:style>
  <w:style w:type="character" w:customStyle="1" w:styleId="116">
    <w:name w:val="页眉 Char"/>
    <w:basedOn w:val="60"/>
    <w:link w:val="36"/>
    <w:autoRedefine/>
    <w:qFormat/>
    <w:uiPriority w:val="0"/>
    <w:rPr>
      <w:rFonts w:ascii="Times New Roman" w:hAnsi="Times New Roman" w:eastAsia="宋体" w:cs="Times New Roman"/>
      <w:sz w:val="18"/>
      <w:szCs w:val="20"/>
    </w:rPr>
  </w:style>
  <w:style w:type="character" w:customStyle="1" w:styleId="117">
    <w:name w:val="正文文本缩进 Char1"/>
    <w:basedOn w:val="60"/>
    <w:autoRedefine/>
    <w:semiHidden/>
    <w:qFormat/>
    <w:uiPriority w:val="99"/>
  </w:style>
  <w:style w:type="character" w:customStyle="1" w:styleId="118">
    <w:name w:val="文档结构图 Char"/>
    <w:basedOn w:val="60"/>
    <w:link w:val="17"/>
    <w:autoRedefine/>
    <w:qFormat/>
    <w:uiPriority w:val="0"/>
    <w:rPr>
      <w:rFonts w:ascii="Times New Roman" w:hAnsi="Times New Roman" w:eastAsia="宋体" w:cs="Times New Roman"/>
      <w:sz w:val="28"/>
      <w:szCs w:val="20"/>
      <w:shd w:val="clear" w:color="auto" w:fill="000080"/>
    </w:rPr>
  </w:style>
  <w:style w:type="character" w:customStyle="1" w:styleId="119">
    <w:name w:val="页脚 Char1"/>
    <w:basedOn w:val="60"/>
    <w:autoRedefine/>
    <w:semiHidden/>
    <w:qFormat/>
    <w:uiPriority w:val="99"/>
    <w:rPr>
      <w:sz w:val="18"/>
      <w:szCs w:val="18"/>
    </w:rPr>
  </w:style>
  <w:style w:type="character" w:customStyle="1" w:styleId="120">
    <w:name w:val="正文文本缩进 3 Char"/>
    <w:basedOn w:val="60"/>
    <w:link w:val="43"/>
    <w:autoRedefine/>
    <w:qFormat/>
    <w:uiPriority w:val="0"/>
    <w:rPr>
      <w:rFonts w:ascii="黑体" w:hAnsi="Times New Roman" w:eastAsia="黑体" w:cs="Times New Roman"/>
      <w:sz w:val="28"/>
      <w:szCs w:val="20"/>
    </w:rPr>
  </w:style>
  <w:style w:type="character" w:customStyle="1" w:styleId="121">
    <w:name w:val="正文文本 3 Char"/>
    <w:basedOn w:val="60"/>
    <w:link w:val="20"/>
    <w:autoRedefine/>
    <w:qFormat/>
    <w:uiPriority w:val="0"/>
    <w:rPr>
      <w:rFonts w:ascii="Times New Roman" w:hAnsi="Times New Roman" w:eastAsia="宋体" w:cs="Times New Roman"/>
      <w:sz w:val="16"/>
      <w:szCs w:val="20"/>
    </w:rPr>
  </w:style>
  <w:style w:type="character" w:customStyle="1" w:styleId="122">
    <w:name w:val="正文文本 2 Char"/>
    <w:basedOn w:val="60"/>
    <w:link w:val="47"/>
    <w:autoRedefine/>
    <w:qFormat/>
    <w:uiPriority w:val="0"/>
    <w:rPr>
      <w:rFonts w:ascii="Times New Roman" w:hAnsi="Times New Roman" w:eastAsia="宋体" w:cs="Times New Roman"/>
      <w:sz w:val="24"/>
      <w:szCs w:val="20"/>
    </w:rPr>
  </w:style>
  <w:style w:type="character" w:customStyle="1" w:styleId="123">
    <w:name w:val="正文文本 Char"/>
    <w:basedOn w:val="60"/>
    <w:link w:val="22"/>
    <w:autoRedefine/>
    <w:qFormat/>
    <w:uiPriority w:val="0"/>
    <w:rPr>
      <w:rFonts w:ascii="仿宋_GB2312" w:hAnsi="Times New Roman" w:eastAsia="仿宋_GB2312" w:cs="Times New Roman"/>
      <w:sz w:val="32"/>
      <w:szCs w:val="20"/>
    </w:rPr>
  </w:style>
  <w:style w:type="character" w:customStyle="1" w:styleId="124">
    <w:name w:val="正文文本缩进 2 Char1"/>
    <w:basedOn w:val="60"/>
    <w:autoRedefine/>
    <w:semiHidden/>
    <w:qFormat/>
    <w:uiPriority w:val="99"/>
  </w:style>
  <w:style w:type="character" w:customStyle="1" w:styleId="125">
    <w:name w:val="正文首行缩进 2 Char1"/>
    <w:basedOn w:val="117"/>
    <w:autoRedefine/>
    <w:semiHidden/>
    <w:qFormat/>
    <w:uiPriority w:val="99"/>
  </w:style>
  <w:style w:type="character" w:customStyle="1" w:styleId="126">
    <w:name w:val="标题 Char"/>
    <w:basedOn w:val="60"/>
    <w:link w:val="54"/>
    <w:autoRedefine/>
    <w:qFormat/>
    <w:uiPriority w:val="0"/>
    <w:rPr>
      <w:rFonts w:ascii="Arial" w:hAnsi="Arial" w:eastAsia="宋体" w:cs="Times New Roman"/>
      <w:b/>
      <w:smallCaps/>
      <w:kern w:val="28"/>
      <w:sz w:val="36"/>
      <w:szCs w:val="20"/>
      <w:lang w:eastAsia="en-US"/>
    </w:rPr>
  </w:style>
  <w:style w:type="character" w:customStyle="1" w:styleId="127">
    <w:name w:val="HTML 预设格式 Char1"/>
    <w:basedOn w:val="60"/>
    <w:autoRedefine/>
    <w:semiHidden/>
    <w:qFormat/>
    <w:uiPriority w:val="99"/>
    <w:rPr>
      <w:rFonts w:ascii="Courier New" w:hAnsi="Courier New" w:cs="Courier New"/>
      <w:sz w:val="20"/>
      <w:szCs w:val="20"/>
    </w:rPr>
  </w:style>
  <w:style w:type="character" w:customStyle="1" w:styleId="128">
    <w:name w:val="日期 Char1"/>
    <w:basedOn w:val="60"/>
    <w:autoRedefine/>
    <w:semiHidden/>
    <w:qFormat/>
    <w:uiPriority w:val="99"/>
  </w:style>
  <w:style w:type="character" w:customStyle="1" w:styleId="129">
    <w:name w:val="纯文本 Char1"/>
    <w:basedOn w:val="60"/>
    <w:autoRedefine/>
    <w:semiHidden/>
    <w:qFormat/>
    <w:uiPriority w:val="99"/>
    <w:rPr>
      <w:rFonts w:ascii="宋体" w:hAnsi="Courier New" w:eastAsia="宋体" w:cs="Courier New"/>
      <w:szCs w:val="21"/>
    </w:rPr>
  </w:style>
  <w:style w:type="character" w:customStyle="1" w:styleId="130">
    <w:name w:val="批注文字 Char1"/>
    <w:basedOn w:val="60"/>
    <w:link w:val="19"/>
    <w:autoRedefine/>
    <w:semiHidden/>
    <w:qFormat/>
    <w:uiPriority w:val="99"/>
  </w:style>
  <w:style w:type="character" w:customStyle="1" w:styleId="131">
    <w:name w:val="批注主题 Char1"/>
    <w:basedOn w:val="130"/>
    <w:autoRedefine/>
    <w:semiHidden/>
    <w:qFormat/>
    <w:uiPriority w:val="99"/>
    <w:rPr>
      <w:b/>
      <w:bCs/>
    </w:rPr>
  </w:style>
  <w:style w:type="character" w:customStyle="1" w:styleId="132">
    <w:name w:val="批注框文本 Char"/>
    <w:basedOn w:val="60"/>
    <w:link w:val="34"/>
    <w:autoRedefine/>
    <w:qFormat/>
    <w:uiPriority w:val="0"/>
    <w:rPr>
      <w:rFonts w:ascii="Times New Roman" w:hAnsi="Times New Roman" w:eastAsia="宋体" w:cs="Times New Roman"/>
      <w:sz w:val="18"/>
      <w:szCs w:val="20"/>
    </w:rPr>
  </w:style>
  <w:style w:type="character" w:customStyle="1" w:styleId="133">
    <w:name w:val="正文首行缩进 Char"/>
    <w:basedOn w:val="123"/>
    <w:link w:val="56"/>
    <w:autoRedefine/>
    <w:qFormat/>
    <w:uiPriority w:val="0"/>
    <w:rPr>
      <w:rFonts w:ascii="宋体" w:hAnsi="宋体" w:eastAsia="宋体" w:cs="Times New Roman"/>
      <w:sz w:val="24"/>
      <w:szCs w:val="20"/>
    </w:rPr>
  </w:style>
  <w:style w:type="paragraph" w:customStyle="1" w:styleId="134">
    <w:name w:val="正文 + 三号"/>
    <w:basedOn w:val="1"/>
    <w:autoRedefine/>
    <w:qFormat/>
    <w:uiPriority w:val="0"/>
    <w:rPr>
      <w:rFonts w:ascii="Times New Roman" w:hAnsi="Times New Roman" w:eastAsia="宋体" w:cs="Times New Roman"/>
      <w:szCs w:val="20"/>
    </w:rPr>
  </w:style>
  <w:style w:type="paragraph" w:customStyle="1" w:styleId="135">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6">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7">
    <w:name w:val="二级列表"/>
    <w:basedOn w:val="138"/>
    <w:next w:val="138"/>
    <w:autoRedefine/>
    <w:qFormat/>
    <w:uiPriority w:val="0"/>
    <w:pPr>
      <w:tabs>
        <w:tab w:val="left" w:pos="2120"/>
      </w:tabs>
      <w:ind w:firstLine="0" w:firstLineChars="0"/>
    </w:pPr>
    <w:rPr>
      <w:b/>
    </w:rPr>
  </w:style>
  <w:style w:type="paragraph" w:customStyle="1" w:styleId="138">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39">
    <w:name w:val="Char1"/>
    <w:basedOn w:val="1"/>
    <w:autoRedefine/>
    <w:qFormat/>
    <w:uiPriority w:val="0"/>
    <w:rPr>
      <w:rFonts w:ascii="Times New Roman" w:hAnsi="Times New Roman" w:eastAsia="宋体" w:cs="Times New Roman"/>
      <w:szCs w:val="20"/>
    </w:rPr>
  </w:style>
  <w:style w:type="paragraph" w:customStyle="1" w:styleId="140">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1">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2">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3">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4">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5">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6">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7">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8">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49">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0">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1">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2">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3">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4">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5">
    <w:name w:val="表格内文字"/>
    <w:basedOn w:val="30"/>
    <w:autoRedefine/>
    <w:qFormat/>
    <w:uiPriority w:val="0"/>
    <w:pPr>
      <w:adjustRightInd w:val="0"/>
    </w:pPr>
    <w:rPr>
      <w:color w:val="000000"/>
      <w:lang w:val="en-GB"/>
    </w:rPr>
  </w:style>
  <w:style w:type="paragraph" w:customStyle="1" w:styleId="156">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7">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8">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59">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0">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1">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2">
    <w:name w:val="样式1"/>
    <w:basedOn w:val="5"/>
    <w:autoRedefine/>
    <w:qFormat/>
    <w:uiPriority w:val="0"/>
    <w:pPr>
      <w:tabs>
        <w:tab w:val="left" w:pos="720"/>
      </w:tabs>
      <w:spacing w:before="500" w:after="260" w:line="560" w:lineRule="atLeast"/>
      <w:ind w:left="420" w:hanging="420"/>
    </w:pPr>
  </w:style>
  <w:style w:type="paragraph" w:customStyle="1" w:styleId="163">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4">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5">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6">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7">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8">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69">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0">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1">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2">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3">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4">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5">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6">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7">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8">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79">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0">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1">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2">
    <w:name w:val="Char Char Char Char Char Char Char"/>
    <w:basedOn w:val="1"/>
    <w:autoRedefine/>
    <w:qFormat/>
    <w:uiPriority w:val="0"/>
    <w:rPr>
      <w:rFonts w:ascii="Tahoma" w:hAnsi="Tahoma" w:eastAsia="宋体" w:cs="Times New Roman"/>
      <w:sz w:val="24"/>
      <w:szCs w:val="20"/>
    </w:rPr>
  </w:style>
  <w:style w:type="paragraph" w:customStyle="1" w:styleId="183">
    <w:name w:val="编号正文"/>
    <w:basedOn w:val="184"/>
    <w:autoRedefine/>
    <w:qFormat/>
    <w:uiPriority w:val="0"/>
    <w:pPr>
      <w:snapToGrid/>
      <w:spacing w:line="360" w:lineRule="auto"/>
      <w:ind w:left="1407" w:hanging="1047"/>
      <w:jc w:val="left"/>
    </w:pPr>
    <w:rPr>
      <w:rFonts w:eastAsia="仿宋_GB2312"/>
    </w:rPr>
  </w:style>
  <w:style w:type="paragraph" w:customStyle="1" w:styleId="184">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5">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6">
    <w:name w:val="Char2 Char Char Char Char Char Char"/>
    <w:basedOn w:val="1"/>
    <w:autoRedefine/>
    <w:qFormat/>
    <w:uiPriority w:val="0"/>
    <w:rPr>
      <w:rFonts w:ascii="仿宋_GB2312" w:hAnsi="Times New Roman" w:eastAsia="宋体" w:cs="Times New Roman"/>
      <w:b/>
      <w:sz w:val="30"/>
      <w:szCs w:val="20"/>
    </w:rPr>
  </w:style>
  <w:style w:type="paragraph" w:customStyle="1" w:styleId="187">
    <w:name w:val="Table Contents"/>
    <w:basedOn w:val="22"/>
    <w:autoRedefine/>
    <w:qFormat/>
    <w:uiPriority w:val="0"/>
    <w:pPr>
      <w:suppressAutoHyphens/>
      <w:jc w:val="left"/>
    </w:pPr>
    <w:rPr>
      <w:rFonts w:ascii="Times New Roman" w:eastAsia="Times New Roman"/>
      <w:kern w:val="0"/>
      <w:sz w:val="24"/>
    </w:rPr>
  </w:style>
  <w:style w:type="paragraph" w:customStyle="1" w:styleId="188">
    <w:name w:val="Char Char Char"/>
    <w:basedOn w:val="1"/>
    <w:autoRedefine/>
    <w:qFormat/>
    <w:uiPriority w:val="0"/>
    <w:rPr>
      <w:rFonts w:ascii="Tahoma" w:hAnsi="Tahoma" w:eastAsia="宋体" w:cs="Times New Roman"/>
      <w:sz w:val="24"/>
      <w:szCs w:val="20"/>
    </w:rPr>
  </w:style>
  <w:style w:type="paragraph" w:customStyle="1" w:styleId="189">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0">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1">
    <w:name w:val="Title - Revision"/>
    <w:basedOn w:val="54"/>
    <w:autoRedefine/>
    <w:qFormat/>
    <w:uiPriority w:val="0"/>
    <w:pPr>
      <w:spacing w:before="720"/>
    </w:pPr>
  </w:style>
  <w:style w:type="paragraph" w:customStyle="1" w:styleId="192">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3">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4">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5">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6">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7">
    <w:name w:val="标准正文"/>
    <w:basedOn w:val="23"/>
    <w:autoRedefine/>
    <w:qFormat/>
    <w:uiPriority w:val="0"/>
    <w:pPr>
      <w:spacing w:before="60" w:after="60" w:line="360" w:lineRule="auto"/>
      <w:ind w:left="0" w:firstLine="482"/>
    </w:pPr>
    <w:rPr>
      <w:rFonts w:ascii="Arial" w:hAnsi="Arial"/>
      <w:sz w:val="24"/>
    </w:rPr>
  </w:style>
  <w:style w:type="paragraph" w:customStyle="1" w:styleId="198">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199">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0">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1">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2">
    <w:name w:val="二级条标题"/>
    <w:basedOn w:val="203"/>
    <w:next w:val="150"/>
    <w:autoRedefine/>
    <w:qFormat/>
    <w:uiPriority w:val="0"/>
    <w:pPr>
      <w:ind w:left="840"/>
      <w:outlineLvl w:val="3"/>
    </w:pPr>
  </w:style>
  <w:style w:type="paragraph" w:customStyle="1" w:styleId="203">
    <w:name w:val="一级条标题"/>
    <w:basedOn w:val="204"/>
    <w:next w:val="150"/>
    <w:autoRedefine/>
    <w:qFormat/>
    <w:uiPriority w:val="0"/>
    <w:pPr>
      <w:numPr>
        <w:numId w:val="0"/>
      </w:numPr>
      <w:spacing w:before="0" w:beforeLines="0" w:after="0" w:afterLines="0"/>
      <w:ind w:left="525"/>
      <w:outlineLvl w:val="2"/>
    </w:pPr>
    <w:rPr>
      <w:sz w:val="21"/>
    </w:rPr>
  </w:style>
  <w:style w:type="paragraph" w:customStyle="1" w:styleId="204">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5">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6">
    <w:name w:val="IN Feature"/>
    <w:next w:val="207"/>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7">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8">
    <w:name w:val="1"/>
    <w:basedOn w:val="1"/>
    <w:next w:val="30"/>
    <w:autoRedefine/>
    <w:qFormat/>
    <w:uiPriority w:val="0"/>
    <w:rPr>
      <w:rFonts w:ascii="宋体" w:hAnsi="Courier New" w:eastAsia="宋体" w:cs="Times New Roman"/>
      <w:szCs w:val="20"/>
    </w:rPr>
  </w:style>
  <w:style w:type="paragraph" w:customStyle="1" w:styleId="209">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0">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1">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2">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3">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4">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5">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6">
    <w:name w:val="Char1 Char Char Char"/>
    <w:basedOn w:val="1"/>
    <w:autoRedefine/>
    <w:qFormat/>
    <w:uiPriority w:val="0"/>
    <w:rPr>
      <w:rFonts w:ascii="Tahoma" w:hAnsi="Tahoma" w:eastAsia="宋体" w:cs="Times New Roman"/>
      <w:sz w:val="24"/>
      <w:szCs w:val="20"/>
    </w:rPr>
  </w:style>
  <w:style w:type="paragraph" w:customStyle="1" w:styleId="217">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8">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19">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0">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1">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2">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3">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4">
    <w:name w:val="内容标题"/>
    <w:basedOn w:val="17"/>
    <w:autoRedefine/>
    <w:qFormat/>
    <w:uiPriority w:val="0"/>
    <w:rPr>
      <w:rFonts w:ascii="Tahoma" w:hAnsi="Tahoma"/>
      <w:sz w:val="24"/>
    </w:rPr>
  </w:style>
  <w:style w:type="paragraph" w:customStyle="1" w:styleId="225">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6">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7">
    <w:name w:val="Char Char1 Char"/>
    <w:basedOn w:val="1"/>
    <w:autoRedefine/>
    <w:qFormat/>
    <w:uiPriority w:val="0"/>
    <w:rPr>
      <w:rFonts w:ascii="Tahoma" w:hAnsi="Tahoma" w:eastAsia="宋体" w:cs="Times New Roman"/>
      <w:sz w:val="24"/>
      <w:szCs w:val="24"/>
    </w:rPr>
  </w:style>
  <w:style w:type="paragraph" w:customStyle="1" w:styleId="228">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29">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0">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1">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2">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3">
    <w:name w:val="Char1 Char Char Char1"/>
    <w:basedOn w:val="1"/>
    <w:autoRedefine/>
    <w:qFormat/>
    <w:uiPriority w:val="0"/>
    <w:rPr>
      <w:rFonts w:ascii="Tahoma" w:hAnsi="Tahoma" w:eastAsia="宋体" w:cs="Times New Roman"/>
      <w:sz w:val="30"/>
      <w:szCs w:val="20"/>
    </w:rPr>
  </w:style>
  <w:style w:type="paragraph" w:customStyle="1" w:styleId="234">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5">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6">
    <w:name w:val="样式 正文缩进正文（首行缩进两字）表正文正文非缩进特点标题4段1 + 首行缩进:  2 字符"/>
    <w:basedOn w:val="15"/>
    <w:autoRedefine/>
    <w:qFormat/>
    <w:uiPriority w:val="0"/>
    <w:pPr>
      <w:ind w:firstLine="480" w:firstLineChars="200"/>
    </w:pPr>
  </w:style>
  <w:style w:type="paragraph" w:customStyle="1" w:styleId="237">
    <w:name w:val="可研正文"/>
    <w:basedOn w:val="22"/>
    <w:autoRedefine/>
    <w:qFormat/>
    <w:uiPriority w:val="0"/>
    <w:pPr>
      <w:adjustRightInd w:val="0"/>
      <w:snapToGrid w:val="0"/>
      <w:spacing w:line="440" w:lineRule="exact"/>
      <w:ind w:firstLine="567"/>
    </w:pPr>
    <w:rPr>
      <w:sz w:val="28"/>
    </w:rPr>
  </w:style>
  <w:style w:type="paragraph" w:customStyle="1" w:styleId="238">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39">
    <w:name w:val="Title - Date"/>
    <w:basedOn w:val="54"/>
    <w:next w:val="1"/>
    <w:autoRedefine/>
    <w:qFormat/>
    <w:uiPriority w:val="0"/>
    <w:pPr>
      <w:spacing w:before="240" w:after="720"/>
    </w:pPr>
    <w:rPr>
      <w:sz w:val="28"/>
    </w:rPr>
  </w:style>
  <w:style w:type="paragraph" w:customStyle="1" w:styleId="240">
    <w:name w:val="标题3——2"/>
    <w:basedOn w:val="4"/>
    <w:next w:val="56"/>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1">
    <w:name w:val="样式4"/>
    <w:basedOn w:val="5"/>
    <w:autoRedefine/>
    <w:qFormat/>
    <w:uiPriority w:val="0"/>
    <w:pPr>
      <w:adjustRightInd w:val="0"/>
      <w:snapToGrid w:val="0"/>
    </w:pPr>
  </w:style>
  <w:style w:type="paragraph" w:customStyle="1" w:styleId="242">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3">
    <w:name w:val="表文字"/>
    <w:autoRedefine/>
    <w:qFormat/>
    <w:uiPriority w:val="0"/>
    <w:rPr>
      <w:rFonts w:ascii="宋体" w:hAnsi="Times New Roman" w:eastAsia="宋体" w:cs="Times New Roman"/>
      <w:kern w:val="2"/>
      <w:sz w:val="20"/>
      <w:szCs w:val="20"/>
      <w:lang w:val="en-US" w:eastAsia="zh-CN" w:bidi="ar-SA"/>
    </w:rPr>
  </w:style>
  <w:style w:type="paragraph" w:customStyle="1" w:styleId="244">
    <w:name w:val="Char Char14 Char Char"/>
    <w:basedOn w:val="1"/>
    <w:autoRedefine/>
    <w:qFormat/>
    <w:uiPriority w:val="0"/>
    <w:rPr>
      <w:rFonts w:ascii="Times New Roman" w:hAnsi="Times New Roman" w:eastAsia="宋体" w:cs="Times New Roman"/>
      <w:szCs w:val="24"/>
    </w:rPr>
  </w:style>
  <w:style w:type="paragraph" w:customStyle="1" w:styleId="245">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6">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7">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8">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49">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0">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1">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2">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3">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4">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5">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6">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7">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8">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59">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0">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1">
    <w:name w:val="Char Char Char Char Char Char Char1"/>
    <w:basedOn w:val="17"/>
    <w:autoRedefine/>
    <w:qFormat/>
    <w:uiPriority w:val="0"/>
    <w:rPr>
      <w:rFonts w:ascii="宋体" w:hAnsi="Tahoma"/>
    </w:rPr>
  </w:style>
  <w:style w:type="paragraph" w:customStyle="1" w:styleId="262">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3">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4">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5">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6">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7">
    <w:name w:val="田 一级小标题"/>
    <w:basedOn w:val="268"/>
    <w:next w:val="15"/>
    <w:autoRedefine/>
    <w:qFormat/>
    <w:uiPriority w:val="0"/>
    <w:rPr>
      <w:b/>
    </w:rPr>
  </w:style>
  <w:style w:type="paragraph" w:customStyle="1" w:styleId="268">
    <w:name w:val="正文-田"/>
    <w:basedOn w:val="1"/>
    <w:autoRedefine/>
    <w:qFormat/>
    <w:uiPriority w:val="0"/>
    <w:rPr>
      <w:rFonts w:eastAsia="仿宋"/>
      <w:sz w:val="28"/>
    </w:rPr>
  </w:style>
  <w:style w:type="paragraph" w:customStyle="1" w:styleId="269">
    <w:name w:val="标题-田"/>
    <w:basedOn w:val="268"/>
    <w:autoRedefine/>
    <w:qFormat/>
    <w:uiPriority w:val="0"/>
    <w:pPr>
      <w:jc w:val="center"/>
    </w:pPr>
    <w:rPr>
      <w:rFonts w:eastAsia="宋体"/>
      <w:sz w:val="36"/>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96240-DA1E-46B1-8E2B-D6135F76A28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44</Pages>
  <Words>16081</Words>
  <Characters>16688</Characters>
  <Lines>182</Lines>
  <Paragraphs>51</Paragraphs>
  <TotalTime>4</TotalTime>
  <ScaleCrop>false</ScaleCrop>
  <LinksUpToDate>false</LinksUpToDate>
  <CharactersWithSpaces>17893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2024-06-11T03:41:32Z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D90EFDEDCD294DEAB041A069E42458C9</vt:lpwstr>
  </property>
</Properties>
</file>