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jc w:val="center"/>
        <w:outlineLvl w:val="0"/>
        <w:rPr>
          <w:rFonts w:ascii="方正小标宋简体" w:hAnsi="宋体" w:eastAsia="方正小标宋简体"/>
          <w:color w:val="auto"/>
          <w:sz w:val="44"/>
          <w:szCs w:val="44"/>
        </w:rPr>
      </w:pPr>
      <w:r>
        <w:rPr>
          <w:rFonts w:hint="eastAsia" w:ascii="方正小标宋简体" w:hAnsi="宋体" w:eastAsia="方正小标宋简体"/>
          <w:color w:val="auto"/>
          <w:sz w:val="44"/>
          <w:szCs w:val="44"/>
        </w:rPr>
        <w:t>重庆医科大学附属永川医院</w:t>
      </w:r>
    </w:p>
    <w:p>
      <w:pPr>
        <w:jc w:val="center"/>
        <w:outlineLvl w:val="0"/>
        <w:rPr>
          <w:rFonts w:ascii="方正小标宋简体" w:hAnsi="宋体" w:eastAsia="方正小标宋简体"/>
          <w:color w:val="auto"/>
          <w:sz w:val="44"/>
          <w:szCs w:val="44"/>
        </w:rPr>
      </w:pPr>
    </w:p>
    <w:p>
      <w:pPr>
        <w:jc w:val="center"/>
        <w:outlineLvl w:val="0"/>
        <w:rPr>
          <w:rFonts w:ascii="方正黑体_GBK" w:hAnsi="宋体" w:eastAsia="方正黑体_GBK" w:cs="Times New Roman"/>
          <w:color w:val="auto"/>
          <w:spacing w:val="80"/>
          <w:sz w:val="44"/>
          <w:szCs w:val="44"/>
        </w:rPr>
      </w:pPr>
    </w:p>
    <w:p>
      <w:pPr>
        <w:jc w:val="center"/>
        <w:outlineLvl w:val="0"/>
        <w:rPr>
          <w:rFonts w:ascii="方正黑体_GBK" w:hAnsi="宋体" w:eastAsia="方正黑体_GBK" w:cs="Times New Roman"/>
          <w:color w:val="auto"/>
          <w:spacing w:val="80"/>
          <w:sz w:val="44"/>
          <w:szCs w:val="44"/>
        </w:rPr>
      </w:pPr>
      <w:r>
        <w:rPr>
          <w:rFonts w:hint="eastAsia" w:ascii="方正黑体_GBK" w:hAnsi="宋体" w:eastAsia="方正黑体_GBK" w:cs="Times New Roman"/>
          <w:color w:val="auto"/>
          <w:spacing w:val="80"/>
          <w:sz w:val="44"/>
          <w:szCs w:val="44"/>
        </w:rPr>
        <w:t>比选文件</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default" w:ascii="方正小标宋_GBK" w:hAnsi="宋体" w:eastAsia="方正小标宋_GBK" w:cs="Times New Roman"/>
          <w:color w:val="auto"/>
          <w:sz w:val="28"/>
          <w:szCs w:val="28"/>
          <w:lang w:val="en-US" w:eastAsia="zh-CN"/>
        </w:rPr>
      </w:pPr>
      <w:r>
        <w:rPr>
          <w:rFonts w:hint="eastAsia" w:ascii="方正小标宋_GBK" w:hAnsi="宋体" w:eastAsia="方正小标宋_GBK" w:cs="Times New Roman"/>
          <w:color w:val="auto"/>
          <w:sz w:val="28"/>
          <w:szCs w:val="28"/>
        </w:rPr>
        <w:t>项目编号：</w:t>
      </w:r>
      <w:r>
        <w:rPr>
          <w:rFonts w:hint="eastAsia" w:ascii="方正小标宋_GBK" w:hAnsi="宋体" w:eastAsia="方正小标宋_GBK" w:cs="Times New Roman"/>
          <w:color w:val="auto"/>
          <w:sz w:val="28"/>
          <w:szCs w:val="28"/>
          <w:lang w:val="en-US" w:eastAsia="zh-CN"/>
        </w:rPr>
        <w:t>2024FW031</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项目名称：</w:t>
      </w:r>
      <w:r>
        <w:rPr>
          <w:rFonts w:hint="eastAsia" w:ascii="方正小标宋_GBK" w:hAnsi="宋体" w:eastAsia="方正小标宋_GBK" w:cs="Times New Roman"/>
          <w:color w:val="auto"/>
          <w:sz w:val="28"/>
          <w:szCs w:val="28"/>
          <w:lang w:val="en-US" w:eastAsia="zh-CN"/>
        </w:rPr>
        <w:t>一流课程建设服务</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 xml:space="preserve">      </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eastAsia"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60" w:lineRule="exact"/>
        <w:ind w:firstLine="1440" w:firstLineChars="400"/>
        <w:rPr>
          <w:rFonts w:ascii="宋体" w:hAnsi="宋体" w:eastAsia="宋体" w:cs="宋体"/>
          <w:color w:val="auto"/>
          <w:sz w:val="40"/>
          <w:szCs w:val="40"/>
        </w:rPr>
      </w:pPr>
      <w:r>
        <w:rPr>
          <w:rFonts w:hint="eastAsia" w:ascii="方正小标宋_GBK" w:eastAsia="方正小标宋_GBK"/>
          <w:color w:val="auto"/>
          <w:sz w:val="36"/>
        </w:rPr>
        <w:t>采购人</w:t>
      </w:r>
      <w:r>
        <w:rPr>
          <w:rFonts w:hint="eastAsia" w:ascii="方正小标宋_GBK" w:hAnsi="宋体" w:eastAsia="方正小标宋_GBK" w:cs="Times New Roman"/>
          <w:color w:val="auto"/>
          <w:sz w:val="28"/>
          <w:szCs w:val="28"/>
        </w:rPr>
        <w:t>：</w:t>
      </w:r>
      <w:r>
        <w:rPr>
          <w:rFonts w:hint="eastAsia" w:ascii="宋体" w:hAnsi="宋体" w:eastAsia="宋体" w:cs="宋体"/>
          <w:color w:val="auto"/>
          <w:sz w:val="36"/>
          <w:szCs w:val="36"/>
        </w:rPr>
        <w:t>重庆医科大学附属永川医院</w:t>
      </w:r>
    </w:p>
    <w:p>
      <w:pPr>
        <w:spacing w:line="420" w:lineRule="exact"/>
        <w:jc w:val="center"/>
        <w:outlineLvl w:val="0"/>
        <w:rPr>
          <w:rFonts w:ascii="仿宋" w:hAnsi="仿宋" w:eastAsia="仿宋" w:cs="仿宋"/>
          <w:color w:val="auto"/>
          <w:sz w:val="30"/>
          <w:szCs w:val="30"/>
        </w:rPr>
      </w:pPr>
    </w:p>
    <w:p>
      <w:pPr>
        <w:spacing w:line="420" w:lineRule="exact"/>
        <w:jc w:val="center"/>
        <w:outlineLvl w:val="0"/>
        <w:rPr>
          <w:rFonts w:ascii="方正黑体_GBK" w:hAnsi="Times New Roman" w:eastAsia="方正黑体_GBK" w:cs="Times New Roman"/>
          <w:color w:val="auto"/>
          <w:sz w:val="44"/>
          <w:szCs w:val="28"/>
        </w:rPr>
      </w:pPr>
      <w:r>
        <w:rPr>
          <w:rFonts w:hint="eastAsia" w:ascii="方正小标宋_GBK" w:hAnsi="宋体" w:eastAsia="方正小标宋_GBK" w:cs="Times New Roman"/>
          <w:color w:val="auto"/>
          <w:sz w:val="28"/>
          <w:szCs w:val="28"/>
        </w:rPr>
        <w:t>二〇二</w:t>
      </w:r>
      <w:r>
        <w:rPr>
          <w:rFonts w:hint="eastAsia" w:ascii="方正小标宋_GBK" w:hAnsi="宋体" w:eastAsia="方正小标宋_GBK" w:cs="Times New Roman"/>
          <w:color w:val="auto"/>
          <w:sz w:val="28"/>
          <w:szCs w:val="28"/>
          <w:lang w:val="en-US" w:eastAsia="zh-CN"/>
        </w:rPr>
        <w:t>四</w:t>
      </w:r>
      <w:r>
        <w:rPr>
          <w:rFonts w:hint="eastAsia" w:ascii="方正小标宋_GBK" w:hAnsi="宋体" w:eastAsia="方正小标宋_GBK" w:cs="Times New Roman"/>
          <w:color w:val="auto"/>
          <w:sz w:val="28"/>
          <w:szCs w:val="28"/>
        </w:rPr>
        <w:t>年</w:t>
      </w:r>
      <w:r>
        <w:rPr>
          <w:rFonts w:hint="eastAsia" w:ascii="方正小标宋_GBK" w:hAnsi="宋体" w:eastAsia="方正小标宋_GBK" w:cs="Times New Roman"/>
          <w:color w:val="auto"/>
          <w:sz w:val="28"/>
          <w:szCs w:val="28"/>
          <w:lang w:eastAsia="zh-CN"/>
        </w:rPr>
        <w:t>五月</w:t>
      </w: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80" w:lineRule="exact"/>
        <w:jc w:val="center"/>
        <w:outlineLvl w:val="0"/>
        <w:rPr>
          <w:rFonts w:hint="eastAsia" w:ascii="方正小标宋_GBK" w:hAnsi="Times New Roman" w:eastAsia="方正小标宋_GBK" w:cs="Times New Roman"/>
          <w:color w:val="auto"/>
          <w:sz w:val="44"/>
          <w:szCs w:val="28"/>
        </w:rPr>
      </w:pPr>
    </w:p>
    <w:p>
      <w:pPr>
        <w:spacing w:line="480" w:lineRule="exact"/>
        <w:jc w:val="center"/>
        <w:outlineLvl w:val="0"/>
        <w:rPr>
          <w:rFonts w:ascii="方正小标宋_GBK" w:hAnsi="Times New Roman" w:eastAsia="方正小标宋_GBK" w:cs="Times New Roman"/>
          <w:color w:val="auto"/>
          <w:sz w:val="44"/>
          <w:szCs w:val="28"/>
        </w:rPr>
      </w:pPr>
      <w:r>
        <w:rPr>
          <w:rFonts w:hint="eastAsia" w:ascii="方正小标宋_GBK" w:hAnsi="Times New Roman" w:eastAsia="方正小标宋_GBK" w:cs="Times New Roman"/>
          <w:color w:val="auto"/>
          <w:sz w:val="44"/>
          <w:szCs w:val="28"/>
        </w:rPr>
        <w:t xml:space="preserve">  目   录</w:t>
      </w:r>
    </w:p>
    <w:p>
      <w:pPr>
        <w:pStyle w:val="37"/>
        <w:tabs>
          <w:tab w:val="right" w:leader="dot" w:pos="9412"/>
        </w:tabs>
        <w:rPr>
          <w:color w:val="auto"/>
        </w:rPr>
      </w:pP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TOC \o "1-3" \h \z </w:instrText>
      </w:r>
      <w:r>
        <w:rPr>
          <w:rFonts w:hint="eastAsia" w:ascii="方正小标宋_GBK" w:hAnsi="宋体" w:eastAsia="方正小标宋_GBK"/>
          <w:color w:val="auto"/>
          <w:szCs w:val="21"/>
        </w:rPr>
        <w:fldChar w:fldCharType="separate"/>
      </w: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HYPERLINK \l _Toc25875 </w:instrText>
      </w:r>
      <w:r>
        <w:rPr>
          <w:rFonts w:hint="eastAsia" w:ascii="方正小标宋_GBK" w:hAnsi="宋体" w:eastAsia="方正小标宋_GBK"/>
          <w:color w:val="auto"/>
          <w:szCs w:val="21"/>
        </w:rPr>
        <w:fldChar w:fldCharType="separate"/>
      </w:r>
      <w:r>
        <w:rPr>
          <w:rFonts w:hint="eastAsia" w:ascii="微软雅黑" w:hAnsi="微软雅黑" w:eastAsia="微软雅黑" w:cs="微软雅黑"/>
          <w:bCs/>
          <w:color w:val="auto"/>
          <w:szCs w:val="36"/>
        </w:rPr>
        <w:t>第一篇  比选邀请书</w:t>
      </w:r>
      <w:r>
        <w:rPr>
          <w:color w:val="auto"/>
        </w:rPr>
        <w:tab/>
      </w:r>
      <w:r>
        <w:rPr>
          <w:color w:val="auto"/>
        </w:rPr>
        <w:fldChar w:fldCharType="begin"/>
      </w:r>
      <w:r>
        <w:rPr>
          <w:color w:val="auto"/>
        </w:rPr>
        <w:instrText xml:space="preserve"> PAGEREF _Toc25875 \h </w:instrText>
      </w:r>
      <w:r>
        <w:rPr>
          <w:color w:val="auto"/>
        </w:rPr>
        <w:fldChar w:fldCharType="separate"/>
      </w:r>
      <w:r>
        <w:rPr>
          <w:color w:val="auto"/>
        </w:rPr>
        <w:t>3</w:t>
      </w:r>
      <w:r>
        <w:rPr>
          <w:color w:val="auto"/>
        </w:rPr>
        <w:fldChar w:fldCharType="end"/>
      </w:r>
      <w:r>
        <w:rPr>
          <w:rFonts w:hint="eastAsia" w:ascii="方正小标宋_GBK" w:hAnsi="宋体" w:eastAsia="方正小标宋_GBK"/>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_Toc28443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一、比选内容</w:t>
      </w:r>
      <w:r>
        <w:rPr>
          <w:color w:val="auto"/>
        </w:rPr>
        <w:tab/>
      </w:r>
      <w:r>
        <w:rPr>
          <w:color w:val="auto"/>
        </w:rPr>
        <w:fldChar w:fldCharType="begin"/>
      </w:r>
      <w:r>
        <w:rPr>
          <w:color w:val="auto"/>
        </w:rPr>
        <w:instrText xml:space="preserve"> PAGEREF _Toc28443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_Toc6609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val="en-US" w:eastAsia="zh-CN"/>
        </w:rPr>
        <w:t>二、资金来源</w:t>
      </w:r>
      <w:r>
        <w:rPr>
          <w:color w:val="auto"/>
        </w:rPr>
        <w:tab/>
      </w:r>
      <w:r>
        <w:rPr>
          <w:color w:val="auto"/>
        </w:rPr>
        <w:fldChar w:fldCharType="begin"/>
      </w:r>
      <w:r>
        <w:rPr>
          <w:color w:val="auto"/>
        </w:rPr>
        <w:instrText xml:space="preserve"> PAGEREF _Toc6609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_Toc23857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三、供应商资格要求</w:t>
      </w:r>
      <w:r>
        <w:rPr>
          <w:color w:val="auto"/>
        </w:rPr>
        <w:tab/>
      </w:r>
      <w:r>
        <w:rPr>
          <w:color w:val="auto"/>
        </w:rPr>
        <w:fldChar w:fldCharType="begin"/>
      </w:r>
      <w:r>
        <w:rPr>
          <w:color w:val="auto"/>
        </w:rPr>
        <w:instrText xml:space="preserve"> PAGEREF _Toc23857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_Toc11958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四、比选有关说明</w:t>
      </w:r>
      <w:r>
        <w:rPr>
          <w:color w:val="auto"/>
        </w:rPr>
        <w:tab/>
      </w:r>
      <w:r>
        <w:rPr>
          <w:color w:val="auto"/>
        </w:rPr>
        <w:fldChar w:fldCharType="begin"/>
      </w:r>
      <w:r>
        <w:rPr>
          <w:color w:val="auto"/>
        </w:rPr>
        <w:instrText xml:space="preserve"> PAGEREF _Toc11958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_Toc29866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五、本项目无需购买比选文件</w:t>
      </w:r>
      <w:r>
        <w:rPr>
          <w:color w:val="auto"/>
        </w:rPr>
        <w:tab/>
      </w:r>
      <w:r>
        <w:rPr>
          <w:color w:val="auto"/>
        </w:rPr>
        <w:fldChar w:fldCharType="begin"/>
      </w:r>
      <w:r>
        <w:rPr>
          <w:color w:val="auto"/>
        </w:rPr>
        <w:instrText xml:space="preserve"> PAGEREF _Toc29866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_Toc2806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六、其它有关规定</w:t>
      </w:r>
      <w:r>
        <w:rPr>
          <w:color w:val="auto"/>
        </w:rPr>
        <w:tab/>
      </w:r>
      <w:r>
        <w:rPr>
          <w:color w:val="auto"/>
        </w:rPr>
        <w:fldChar w:fldCharType="begin"/>
      </w:r>
      <w:r>
        <w:rPr>
          <w:color w:val="auto"/>
        </w:rPr>
        <w:instrText xml:space="preserve"> PAGEREF _Toc2806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_Toc2183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七、防疫要求</w:t>
      </w:r>
      <w:r>
        <w:rPr>
          <w:color w:val="auto"/>
        </w:rPr>
        <w:tab/>
      </w:r>
      <w:r>
        <w:rPr>
          <w:color w:val="auto"/>
        </w:rPr>
        <w:fldChar w:fldCharType="begin"/>
      </w:r>
      <w:r>
        <w:rPr>
          <w:color w:val="auto"/>
        </w:rPr>
        <w:instrText xml:space="preserve"> PAGEREF _Toc2183 \h </w:instrText>
      </w:r>
      <w:r>
        <w:rPr>
          <w:color w:val="auto"/>
        </w:rPr>
        <w:fldChar w:fldCharType="separate"/>
      </w:r>
      <w:r>
        <w:rPr>
          <w:color w:val="auto"/>
        </w:rPr>
        <w:t>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_Toc9130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八、联系方式</w:t>
      </w:r>
      <w:r>
        <w:rPr>
          <w:color w:val="auto"/>
        </w:rPr>
        <w:tab/>
      </w:r>
      <w:r>
        <w:rPr>
          <w:color w:val="auto"/>
        </w:rPr>
        <w:fldChar w:fldCharType="begin"/>
      </w:r>
      <w:r>
        <w:rPr>
          <w:color w:val="auto"/>
        </w:rPr>
        <w:instrText xml:space="preserve"> PAGEREF _Toc9130 \h </w:instrText>
      </w:r>
      <w:r>
        <w:rPr>
          <w:color w:val="auto"/>
        </w:rPr>
        <w:fldChar w:fldCharType="separate"/>
      </w:r>
      <w:r>
        <w:rPr>
          <w:color w:val="auto"/>
        </w:rPr>
        <w:t>5</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_Toc22321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bCs/>
          <w:color w:val="auto"/>
          <w:szCs w:val="36"/>
        </w:rPr>
        <w:t>第二篇 供应商须知</w:t>
      </w:r>
      <w:r>
        <w:rPr>
          <w:color w:val="auto"/>
        </w:rPr>
        <w:tab/>
      </w:r>
      <w:r>
        <w:rPr>
          <w:color w:val="auto"/>
        </w:rPr>
        <w:fldChar w:fldCharType="begin"/>
      </w:r>
      <w:r>
        <w:rPr>
          <w:color w:val="auto"/>
        </w:rPr>
        <w:instrText xml:space="preserve"> PAGEREF _Toc22321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_Toc11386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一、比选费用</w:t>
      </w:r>
      <w:r>
        <w:rPr>
          <w:color w:val="auto"/>
        </w:rPr>
        <w:tab/>
      </w:r>
      <w:r>
        <w:rPr>
          <w:color w:val="auto"/>
        </w:rPr>
        <w:fldChar w:fldCharType="begin"/>
      </w:r>
      <w:r>
        <w:rPr>
          <w:color w:val="auto"/>
        </w:rPr>
        <w:instrText xml:space="preserve"> PAGEREF _Toc11386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_Toc8430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二、比选文件</w:t>
      </w:r>
      <w:r>
        <w:rPr>
          <w:color w:val="auto"/>
        </w:rPr>
        <w:tab/>
      </w:r>
      <w:r>
        <w:rPr>
          <w:color w:val="auto"/>
        </w:rPr>
        <w:fldChar w:fldCharType="begin"/>
      </w:r>
      <w:r>
        <w:rPr>
          <w:color w:val="auto"/>
        </w:rPr>
        <w:instrText xml:space="preserve"> PAGEREF _Toc8430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_Toc23254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三、比选要求</w:t>
      </w:r>
      <w:r>
        <w:rPr>
          <w:color w:val="auto"/>
        </w:rPr>
        <w:tab/>
      </w:r>
      <w:r>
        <w:rPr>
          <w:color w:val="auto"/>
        </w:rPr>
        <w:fldChar w:fldCharType="begin"/>
      </w:r>
      <w:r>
        <w:rPr>
          <w:color w:val="auto"/>
        </w:rPr>
        <w:instrText xml:space="preserve"> PAGEREF _Toc23254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_Toc19143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四、比选程序</w:t>
      </w:r>
      <w:r>
        <w:rPr>
          <w:color w:val="auto"/>
        </w:rPr>
        <w:tab/>
      </w:r>
      <w:r>
        <w:rPr>
          <w:color w:val="auto"/>
        </w:rPr>
        <w:fldChar w:fldCharType="begin"/>
      </w:r>
      <w:r>
        <w:rPr>
          <w:color w:val="auto"/>
        </w:rPr>
        <w:instrText xml:space="preserve"> PAGEREF _Toc19143 \h </w:instrText>
      </w:r>
      <w:r>
        <w:rPr>
          <w:color w:val="auto"/>
        </w:rPr>
        <w:fldChar w:fldCharType="separate"/>
      </w:r>
      <w:r>
        <w:rPr>
          <w:color w:val="auto"/>
        </w:rPr>
        <w:t>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_Toc14247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五、评审依据</w:t>
      </w:r>
      <w:r>
        <w:rPr>
          <w:color w:val="auto"/>
        </w:rPr>
        <w:tab/>
      </w:r>
      <w:r>
        <w:rPr>
          <w:color w:val="auto"/>
        </w:rPr>
        <w:fldChar w:fldCharType="begin"/>
      </w:r>
      <w:r>
        <w:rPr>
          <w:color w:val="auto"/>
        </w:rPr>
        <w:instrText xml:space="preserve"> PAGEREF _Toc14247 \h </w:instrText>
      </w:r>
      <w:r>
        <w:rPr>
          <w:color w:val="auto"/>
        </w:rPr>
        <w:fldChar w:fldCharType="separate"/>
      </w:r>
      <w:r>
        <w:rPr>
          <w:color w:val="auto"/>
        </w:rPr>
        <w:t>10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_Toc14816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六、成交原则</w:t>
      </w:r>
      <w:r>
        <w:rPr>
          <w:color w:val="auto"/>
        </w:rPr>
        <w:tab/>
      </w:r>
      <w:r>
        <w:rPr>
          <w:color w:val="auto"/>
        </w:rPr>
        <w:fldChar w:fldCharType="begin"/>
      </w:r>
      <w:r>
        <w:rPr>
          <w:color w:val="auto"/>
        </w:rPr>
        <w:instrText xml:space="preserve"> PAGEREF _Toc14816 \h </w:instrText>
      </w:r>
      <w:r>
        <w:rPr>
          <w:color w:val="auto"/>
        </w:rPr>
        <w:fldChar w:fldCharType="separate"/>
      </w:r>
      <w:r>
        <w:rPr>
          <w:color w:val="auto"/>
        </w:rPr>
        <w:t>10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_Toc7135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七、成交通知</w:t>
      </w:r>
      <w:r>
        <w:rPr>
          <w:color w:val="auto"/>
        </w:rPr>
        <w:tab/>
      </w:r>
      <w:r>
        <w:rPr>
          <w:color w:val="auto"/>
        </w:rPr>
        <w:fldChar w:fldCharType="begin"/>
      </w:r>
      <w:r>
        <w:rPr>
          <w:color w:val="auto"/>
        </w:rPr>
        <w:instrText xml:space="preserve"> PAGEREF _Toc7135 \h </w:instrText>
      </w:r>
      <w:r>
        <w:rPr>
          <w:color w:val="auto"/>
        </w:rPr>
        <w:fldChar w:fldCharType="separate"/>
      </w:r>
      <w:r>
        <w:rPr>
          <w:color w:val="auto"/>
        </w:rPr>
        <w:t>11</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_Toc12880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八、关于质疑和投诉</w:t>
      </w:r>
      <w:r>
        <w:rPr>
          <w:color w:val="auto"/>
        </w:rPr>
        <w:tab/>
      </w:r>
      <w:r>
        <w:rPr>
          <w:color w:val="auto"/>
        </w:rPr>
        <w:fldChar w:fldCharType="begin"/>
      </w:r>
      <w:r>
        <w:rPr>
          <w:color w:val="auto"/>
        </w:rPr>
        <w:instrText xml:space="preserve"> PAGEREF _Toc12880 \h </w:instrText>
      </w:r>
      <w:r>
        <w:rPr>
          <w:color w:val="auto"/>
        </w:rPr>
        <w:fldChar w:fldCharType="separate"/>
      </w:r>
      <w:r>
        <w:rPr>
          <w:color w:val="auto"/>
        </w:rPr>
        <w:t>12</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_Toc5728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九、签订合同</w:t>
      </w:r>
      <w:r>
        <w:rPr>
          <w:color w:val="auto"/>
        </w:rPr>
        <w:tab/>
      </w:r>
      <w:r>
        <w:rPr>
          <w:color w:val="auto"/>
        </w:rPr>
        <w:fldChar w:fldCharType="begin"/>
      </w:r>
      <w:r>
        <w:rPr>
          <w:color w:val="auto"/>
        </w:rPr>
        <w:instrText xml:space="preserve"> PAGEREF _Toc5728 \h </w:instrText>
      </w:r>
      <w:r>
        <w:rPr>
          <w:color w:val="auto"/>
        </w:rPr>
        <w:fldChar w:fldCharType="separate"/>
      </w:r>
      <w:r>
        <w:rPr>
          <w:color w:val="auto"/>
        </w:rPr>
        <w:t>13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_Toc7675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十、其他</w:t>
      </w:r>
      <w:r>
        <w:rPr>
          <w:color w:val="auto"/>
        </w:rPr>
        <w:tab/>
      </w:r>
      <w:r>
        <w:rPr>
          <w:color w:val="auto"/>
        </w:rPr>
        <w:fldChar w:fldCharType="begin"/>
      </w:r>
      <w:r>
        <w:rPr>
          <w:color w:val="auto"/>
        </w:rPr>
        <w:instrText xml:space="preserve"> PAGEREF _Toc7675 \h </w:instrText>
      </w:r>
      <w:r>
        <w:rPr>
          <w:color w:val="auto"/>
        </w:rPr>
        <w:fldChar w:fldCharType="separate"/>
      </w:r>
      <w:r>
        <w:rPr>
          <w:color w:val="auto"/>
        </w:rPr>
        <w:t>13</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_Toc11770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第三篇  项目服务需求</w:t>
      </w:r>
      <w:r>
        <w:rPr>
          <w:color w:val="auto"/>
        </w:rPr>
        <w:tab/>
      </w:r>
      <w:r>
        <w:rPr>
          <w:color w:val="auto"/>
        </w:rPr>
        <w:fldChar w:fldCharType="begin"/>
      </w:r>
      <w:r>
        <w:rPr>
          <w:color w:val="auto"/>
        </w:rPr>
        <w:instrText xml:space="preserve"> PAGEREF _Toc11770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_Toc766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w:t>
      </w:r>
      <w:r>
        <w:rPr>
          <w:rFonts w:hint="eastAsia" w:ascii="微软雅黑" w:hAnsi="微软雅黑" w:eastAsia="微软雅黑" w:cs="微软雅黑"/>
          <w:color w:val="auto"/>
          <w:szCs w:val="24"/>
          <w:lang w:eastAsia="zh-CN"/>
        </w:rPr>
        <w:t>项目概况</w:t>
      </w:r>
      <w:r>
        <w:rPr>
          <w:color w:val="auto"/>
        </w:rPr>
        <w:tab/>
      </w:r>
      <w:r>
        <w:rPr>
          <w:color w:val="auto"/>
        </w:rPr>
        <w:fldChar w:fldCharType="begin"/>
      </w:r>
      <w:r>
        <w:rPr>
          <w:color w:val="auto"/>
        </w:rPr>
        <w:instrText xml:space="preserve"> PAGEREF _Toc766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_Toc18590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二、服务</w:t>
      </w:r>
      <w:r>
        <w:rPr>
          <w:rFonts w:hint="eastAsia" w:ascii="微软雅黑" w:hAnsi="微软雅黑" w:eastAsia="微软雅黑" w:cs="微软雅黑"/>
          <w:color w:val="auto"/>
          <w:szCs w:val="24"/>
          <w:lang w:eastAsia="zh-CN"/>
        </w:rPr>
        <w:t>需</w:t>
      </w:r>
      <w:r>
        <w:rPr>
          <w:rFonts w:hint="eastAsia" w:ascii="微软雅黑" w:hAnsi="微软雅黑" w:eastAsia="微软雅黑" w:cs="微软雅黑"/>
          <w:color w:val="auto"/>
          <w:szCs w:val="24"/>
        </w:rPr>
        <w:t>求</w:t>
      </w:r>
      <w:r>
        <w:rPr>
          <w:color w:val="auto"/>
        </w:rPr>
        <w:tab/>
      </w:r>
      <w:r>
        <w:rPr>
          <w:color w:val="auto"/>
        </w:rPr>
        <w:fldChar w:fldCharType="begin"/>
      </w:r>
      <w:r>
        <w:rPr>
          <w:color w:val="auto"/>
        </w:rPr>
        <w:instrText xml:space="preserve"> PAGEREF _Toc18590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_Toc28327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第四篇  项目商务需求</w:t>
      </w:r>
      <w:r>
        <w:rPr>
          <w:color w:val="auto"/>
        </w:rPr>
        <w:tab/>
      </w:r>
      <w:r>
        <w:rPr>
          <w:color w:val="auto"/>
        </w:rPr>
        <w:fldChar w:fldCharType="begin"/>
      </w:r>
      <w:r>
        <w:rPr>
          <w:color w:val="auto"/>
        </w:rPr>
        <w:instrText xml:space="preserve"> PAGEREF _Toc28327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_Toc2302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w:t>
      </w:r>
      <w:r>
        <w:rPr>
          <w:rFonts w:hint="eastAsia" w:ascii="微软雅黑" w:hAnsi="微软雅黑" w:eastAsia="微软雅黑" w:cs="微软雅黑"/>
          <w:color w:val="auto"/>
          <w:szCs w:val="24"/>
          <w:lang w:eastAsia="zh-CN"/>
        </w:rPr>
        <w:t>商务需求</w:t>
      </w:r>
      <w:r>
        <w:rPr>
          <w:color w:val="auto"/>
        </w:rPr>
        <w:tab/>
      </w:r>
      <w:r>
        <w:rPr>
          <w:color w:val="auto"/>
        </w:rPr>
        <w:fldChar w:fldCharType="begin"/>
      </w:r>
      <w:r>
        <w:rPr>
          <w:color w:val="auto"/>
        </w:rPr>
        <w:instrText xml:space="preserve"> PAGEREF _Toc2302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_Toc26361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二</w:t>
      </w:r>
      <w:r>
        <w:rPr>
          <w:rFonts w:hint="eastAsia" w:ascii="微软雅黑" w:hAnsi="微软雅黑" w:eastAsia="微软雅黑" w:cs="微软雅黑"/>
          <w:color w:val="auto"/>
          <w:szCs w:val="24"/>
        </w:rPr>
        <w:t>、</w:t>
      </w:r>
      <w:r>
        <w:rPr>
          <w:rFonts w:hint="eastAsia" w:ascii="微软雅黑" w:hAnsi="微软雅黑" w:eastAsia="微软雅黑" w:cs="微软雅黑"/>
          <w:color w:val="auto"/>
          <w:szCs w:val="24"/>
          <w:lang w:eastAsia="zh-CN"/>
        </w:rPr>
        <w:t>知识产权</w:t>
      </w:r>
      <w:r>
        <w:rPr>
          <w:color w:val="auto"/>
        </w:rPr>
        <w:tab/>
      </w:r>
      <w:r>
        <w:rPr>
          <w:color w:val="auto"/>
        </w:rPr>
        <w:fldChar w:fldCharType="begin"/>
      </w:r>
      <w:r>
        <w:rPr>
          <w:color w:val="auto"/>
        </w:rPr>
        <w:instrText xml:space="preserve"> PAGEREF _Toc26361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_Toc7358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三</w:t>
      </w:r>
      <w:r>
        <w:rPr>
          <w:rFonts w:hint="eastAsia" w:ascii="微软雅黑" w:hAnsi="微软雅黑" w:eastAsia="微软雅黑" w:cs="微软雅黑"/>
          <w:color w:val="auto"/>
          <w:szCs w:val="24"/>
        </w:rPr>
        <w:t>、其他</w:t>
      </w:r>
      <w:r>
        <w:rPr>
          <w:color w:val="auto"/>
        </w:rPr>
        <w:tab/>
      </w:r>
      <w:r>
        <w:rPr>
          <w:color w:val="auto"/>
        </w:rPr>
        <w:fldChar w:fldCharType="begin"/>
      </w:r>
      <w:r>
        <w:rPr>
          <w:color w:val="auto"/>
        </w:rPr>
        <w:instrText xml:space="preserve"> PAGEREF _Toc7358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_Toc14840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第五篇  合同草案条款</w:t>
      </w:r>
      <w:r>
        <w:rPr>
          <w:color w:val="auto"/>
        </w:rPr>
        <w:tab/>
      </w:r>
      <w:r>
        <w:rPr>
          <w:color w:val="auto"/>
        </w:rPr>
        <w:fldChar w:fldCharType="begin"/>
      </w:r>
      <w:r>
        <w:rPr>
          <w:color w:val="auto"/>
        </w:rPr>
        <w:instrText xml:space="preserve"> PAGEREF _Toc14840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_Toc30815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一、定义</w:t>
      </w:r>
      <w:r>
        <w:rPr>
          <w:color w:val="auto"/>
        </w:rPr>
        <w:tab/>
      </w:r>
      <w:r>
        <w:rPr>
          <w:color w:val="auto"/>
        </w:rPr>
        <w:fldChar w:fldCharType="begin"/>
      </w:r>
      <w:r>
        <w:rPr>
          <w:color w:val="auto"/>
        </w:rPr>
        <w:instrText xml:space="preserve"> PAGEREF _Toc30815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_Toc17879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w:t>
      </w:r>
      <w:r>
        <w:rPr>
          <w:rFonts w:hint="eastAsia" w:ascii="微软雅黑" w:hAnsi="微软雅黑" w:eastAsia="微软雅黑" w:cs="微软雅黑"/>
          <w:color w:val="auto"/>
          <w:szCs w:val="24"/>
          <w:lang w:eastAsia="zh-CN"/>
        </w:rPr>
        <w:t>服务</w:t>
      </w:r>
      <w:r>
        <w:rPr>
          <w:rFonts w:hint="eastAsia" w:ascii="微软雅黑" w:hAnsi="微软雅黑" w:eastAsia="微软雅黑" w:cs="微软雅黑"/>
          <w:color w:val="auto"/>
          <w:szCs w:val="24"/>
        </w:rPr>
        <w:t>内容</w:t>
      </w:r>
      <w:r>
        <w:rPr>
          <w:color w:val="auto"/>
        </w:rPr>
        <w:tab/>
      </w:r>
      <w:r>
        <w:rPr>
          <w:color w:val="auto"/>
        </w:rPr>
        <w:fldChar w:fldCharType="begin"/>
      </w:r>
      <w:r>
        <w:rPr>
          <w:color w:val="auto"/>
        </w:rPr>
        <w:instrText xml:space="preserve"> PAGEREF _Toc17879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_Toc8853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三、合同价格</w:t>
      </w:r>
      <w:r>
        <w:rPr>
          <w:color w:val="auto"/>
        </w:rPr>
        <w:tab/>
      </w:r>
      <w:r>
        <w:rPr>
          <w:color w:val="auto"/>
        </w:rPr>
        <w:fldChar w:fldCharType="begin"/>
      </w:r>
      <w:r>
        <w:rPr>
          <w:color w:val="auto"/>
        </w:rPr>
        <w:instrText xml:space="preserve"> PAGEREF _Toc8853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_Toc24410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四、转包或分包</w:t>
      </w:r>
      <w:r>
        <w:rPr>
          <w:color w:val="auto"/>
        </w:rPr>
        <w:tab/>
      </w:r>
      <w:r>
        <w:rPr>
          <w:color w:val="auto"/>
        </w:rPr>
        <w:fldChar w:fldCharType="begin"/>
      </w:r>
      <w:r>
        <w:rPr>
          <w:color w:val="auto"/>
        </w:rPr>
        <w:instrText xml:space="preserve"> PAGEREF _Toc24410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_Toc2241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五、质量保证及售后服务</w:t>
      </w:r>
      <w:r>
        <w:rPr>
          <w:color w:val="auto"/>
        </w:rPr>
        <w:tab/>
      </w:r>
      <w:r>
        <w:rPr>
          <w:color w:val="auto"/>
        </w:rPr>
        <w:fldChar w:fldCharType="begin"/>
      </w:r>
      <w:r>
        <w:rPr>
          <w:color w:val="auto"/>
        </w:rPr>
        <w:instrText xml:space="preserve"> PAGEREF _Toc2241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_Toc9053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六、付款</w:t>
      </w:r>
      <w:r>
        <w:rPr>
          <w:color w:val="auto"/>
        </w:rPr>
        <w:tab/>
      </w:r>
      <w:r>
        <w:rPr>
          <w:color w:val="auto"/>
        </w:rPr>
        <w:fldChar w:fldCharType="begin"/>
      </w:r>
      <w:r>
        <w:rPr>
          <w:color w:val="auto"/>
        </w:rPr>
        <w:instrText xml:space="preserve"> PAGEREF _Toc9053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_Toc11586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七</w:t>
      </w:r>
      <w:r>
        <w:rPr>
          <w:rFonts w:hint="eastAsia" w:ascii="微软雅黑" w:hAnsi="微软雅黑" w:eastAsia="微软雅黑" w:cs="微软雅黑"/>
          <w:color w:val="auto"/>
          <w:szCs w:val="24"/>
        </w:rPr>
        <w:t>、合同争议的解决</w:t>
      </w:r>
      <w:r>
        <w:rPr>
          <w:color w:val="auto"/>
        </w:rPr>
        <w:tab/>
      </w:r>
      <w:r>
        <w:rPr>
          <w:color w:val="auto"/>
        </w:rPr>
        <w:fldChar w:fldCharType="begin"/>
      </w:r>
      <w:r>
        <w:rPr>
          <w:color w:val="auto"/>
        </w:rPr>
        <w:instrText xml:space="preserve"> PAGEREF _Toc11586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_Toc26580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八</w:t>
      </w:r>
      <w:r>
        <w:rPr>
          <w:rFonts w:hint="eastAsia" w:ascii="微软雅黑" w:hAnsi="微软雅黑" w:eastAsia="微软雅黑" w:cs="微软雅黑"/>
          <w:color w:val="auto"/>
          <w:szCs w:val="24"/>
        </w:rPr>
        <w:t>、违约责任</w:t>
      </w:r>
      <w:r>
        <w:rPr>
          <w:color w:val="auto"/>
        </w:rPr>
        <w:tab/>
      </w:r>
      <w:r>
        <w:rPr>
          <w:color w:val="auto"/>
        </w:rPr>
        <w:fldChar w:fldCharType="begin"/>
      </w:r>
      <w:r>
        <w:rPr>
          <w:color w:val="auto"/>
        </w:rPr>
        <w:instrText xml:space="preserve"> PAGEREF _Toc26580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_Toc16142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九</w:t>
      </w:r>
      <w:r>
        <w:rPr>
          <w:rFonts w:hint="eastAsia" w:ascii="微软雅黑" w:hAnsi="微软雅黑" w:eastAsia="微软雅黑" w:cs="微软雅黑"/>
          <w:color w:val="auto"/>
          <w:szCs w:val="24"/>
        </w:rPr>
        <w:t>、合同生效及其它</w:t>
      </w:r>
      <w:r>
        <w:rPr>
          <w:color w:val="auto"/>
        </w:rPr>
        <w:tab/>
      </w:r>
      <w:r>
        <w:rPr>
          <w:color w:val="auto"/>
        </w:rPr>
        <w:fldChar w:fldCharType="begin"/>
      </w:r>
      <w:r>
        <w:rPr>
          <w:color w:val="auto"/>
        </w:rPr>
        <w:instrText xml:space="preserve"> PAGEREF _Toc16142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_Toc13696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第六篇  响应文件格式要求</w:t>
      </w:r>
      <w:r>
        <w:rPr>
          <w:color w:val="auto"/>
        </w:rPr>
        <w:tab/>
      </w:r>
      <w:r>
        <w:rPr>
          <w:color w:val="auto"/>
        </w:rPr>
        <w:fldChar w:fldCharType="begin"/>
      </w:r>
      <w:r>
        <w:rPr>
          <w:color w:val="auto"/>
        </w:rPr>
        <w:instrText xml:space="preserve"> PAGEREF _Toc13696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_Toc27382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一、经济部分</w:t>
      </w:r>
      <w:r>
        <w:rPr>
          <w:color w:val="auto"/>
        </w:rPr>
        <w:tab/>
      </w:r>
      <w:r>
        <w:rPr>
          <w:color w:val="auto"/>
        </w:rPr>
        <w:fldChar w:fldCharType="begin"/>
      </w:r>
      <w:r>
        <w:rPr>
          <w:color w:val="auto"/>
        </w:rPr>
        <w:instrText xml:space="preserve"> PAGEREF _Toc27382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_Toc6305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二、服务部分</w:t>
      </w:r>
      <w:r>
        <w:rPr>
          <w:color w:val="auto"/>
        </w:rPr>
        <w:tab/>
      </w:r>
      <w:r>
        <w:rPr>
          <w:color w:val="auto"/>
        </w:rPr>
        <w:fldChar w:fldCharType="begin"/>
      </w:r>
      <w:r>
        <w:rPr>
          <w:color w:val="auto"/>
        </w:rPr>
        <w:instrText xml:space="preserve"> PAGEREF _Toc6305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_Toc7207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三、商务部分</w:t>
      </w:r>
      <w:r>
        <w:rPr>
          <w:color w:val="auto"/>
        </w:rPr>
        <w:tab/>
      </w:r>
      <w:r>
        <w:rPr>
          <w:color w:val="auto"/>
        </w:rPr>
        <w:fldChar w:fldCharType="begin"/>
      </w:r>
      <w:r>
        <w:rPr>
          <w:color w:val="auto"/>
        </w:rPr>
        <w:instrText xml:space="preserve"> PAGEREF _Toc7207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_Toc18417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四、资格条件及其他</w:t>
      </w:r>
      <w:r>
        <w:rPr>
          <w:color w:val="auto"/>
        </w:rPr>
        <w:tab/>
      </w:r>
      <w:r>
        <w:rPr>
          <w:color w:val="auto"/>
        </w:rPr>
        <w:fldChar w:fldCharType="begin"/>
      </w:r>
      <w:r>
        <w:rPr>
          <w:color w:val="auto"/>
        </w:rPr>
        <w:instrText xml:space="preserve"> PAGEREF _Toc18417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_Toc19884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五、其他应提供的资料</w:t>
      </w:r>
      <w:r>
        <w:rPr>
          <w:color w:val="auto"/>
        </w:rPr>
        <w:tab/>
      </w:r>
      <w:r>
        <w:rPr>
          <w:color w:val="auto"/>
        </w:rPr>
        <w:fldChar w:fldCharType="begin"/>
      </w:r>
      <w:r>
        <w:rPr>
          <w:color w:val="auto"/>
        </w:rPr>
        <w:instrText xml:space="preserve"> PAGEREF _Toc19884 \h </w:instrText>
      </w:r>
      <w:r>
        <w:rPr>
          <w:color w:val="auto"/>
        </w:rPr>
        <w:fldChar w:fldCharType="separate"/>
      </w:r>
      <w:r>
        <w:rPr>
          <w:color w:val="auto"/>
        </w:rPr>
        <w:t>20</w:t>
      </w:r>
      <w:r>
        <w:rPr>
          <w:color w:val="auto"/>
        </w:rPr>
        <w:fldChar w:fldCharType="end"/>
      </w:r>
      <w:r>
        <w:rPr>
          <w:rFonts w:hint="eastAsia" w:ascii="方正小标宋_GBK" w:hAnsi="宋体" w:eastAsia="方正小标宋_GBK" w:cs="Times New Roman"/>
          <w:color w:val="auto"/>
          <w:szCs w:val="21"/>
        </w:rPr>
        <w:fldChar w:fldCharType="end"/>
      </w:r>
    </w:p>
    <w:p>
      <w:pPr>
        <w:jc w:val="both"/>
        <w:rPr>
          <w:rFonts w:hint="eastAsia" w:ascii="方正仿宋_GBK" w:hAnsi="宋体" w:eastAsia="方正仿宋_GBK"/>
          <w:color w:val="auto"/>
          <w:sz w:val="32"/>
          <w:szCs w:val="32"/>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_Toc23716 </w:instrText>
      </w:r>
      <w:r>
        <w:rPr>
          <w:rFonts w:hint="eastAsia" w:ascii="方正小标宋_GBK" w:hAnsi="宋体" w:eastAsia="方正小标宋_GBK" w:cs="Times New Roman"/>
          <w:color w:val="auto"/>
          <w:szCs w:val="21"/>
        </w:rPr>
        <w:fldChar w:fldCharType="separate"/>
      </w:r>
      <w:r>
        <w:rPr>
          <w:rFonts w:hint="eastAsia" w:ascii="方正仿宋_GBK" w:hAnsi="宋体" w:eastAsia="方正仿宋_GBK"/>
          <w:color w:val="auto"/>
          <w:sz w:val="32"/>
          <w:szCs w:val="32"/>
        </w:rPr>
        <w:t>中小微企业声明函</w:t>
      </w:r>
    </w:p>
    <w:p>
      <w:pPr>
        <w:pStyle w:val="37"/>
        <w:tabs>
          <w:tab w:val="right" w:leader="dot" w:pos="9412"/>
        </w:tabs>
        <w:rPr>
          <w:color w:val="auto"/>
        </w:rPr>
      </w:pPr>
      <w:r>
        <w:rPr>
          <w:color w:val="auto"/>
        </w:rPr>
        <w:tab/>
      </w:r>
      <w:r>
        <w:rPr>
          <w:color w:val="auto"/>
        </w:rPr>
        <w:fldChar w:fldCharType="begin"/>
      </w:r>
      <w:r>
        <w:rPr>
          <w:color w:val="auto"/>
        </w:rPr>
        <w:instrText xml:space="preserve"> PAGEREF _Toc23716 \h </w:instrText>
      </w:r>
      <w:r>
        <w:rPr>
          <w:color w:val="auto"/>
        </w:rPr>
        <w:fldChar w:fldCharType="separate"/>
      </w:r>
      <w:r>
        <w:rPr>
          <w:color w:val="auto"/>
        </w:rPr>
        <w:t>39</w:t>
      </w:r>
      <w:r>
        <w:rPr>
          <w:color w:val="auto"/>
        </w:rPr>
        <w:fldChar w:fldCharType="end"/>
      </w:r>
      <w:r>
        <w:rPr>
          <w:rFonts w:hint="eastAsia" w:ascii="方正小标宋_GBK" w:hAnsi="宋体" w:eastAsia="方正小标宋_GBK" w:cs="Times New Roman"/>
          <w:color w:val="auto"/>
          <w:szCs w:val="21"/>
        </w:rPr>
        <w:fldChar w:fldCharType="end"/>
      </w:r>
    </w:p>
    <w:p>
      <w:pPr>
        <w:tabs>
          <w:tab w:val="right" w:leader="dot" w:pos="9402"/>
        </w:tabs>
        <w:spacing w:line="480" w:lineRule="exact"/>
        <w:ind w:left="420" w:leftChars="200"/>
        <w:rPr>
          <w:rFonts w:ascii="方正仿宋_GBK" w:hAnsi="Calibri" w:eastAsia="方正仿宋_GBK" w:cs="Times New Roman"/>
          <w:color w:val="auto"/>
          <w:sz w:val="18"/>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方正小标宋_GBK" w:hAnsi="宋体" w:eastAsia="方正小标宋_GBK" w:cs="Times New Roman"/>
          <w:color w:val="auto"/>
          <w:szCs w:val="21"/>
        </w:rPr>
        <w:fldChar w:fldCharType="end"/>
      </w:r>
    </w:p>
    <w:p>
      <w:pPr>
        <w:pStyle w:val="2"/>
        <w:bidi w:val="0"/>
        <w:jc w:val="center"/>
        <w:rPr>
          <w:rFonts w:hint="eastAsia" w:ascii="微软雅黑" w:hAnsi="微软雅黑" w:eastAsia="微软雅黑" w:cs="微软雅黑"/>
          <w:b/>
          <w:color w:val="auto"/>
        </w:rPr>
      </w:pPr>
      <w:bookmarkStart w:id="0" w:name="_Toc12789052"/>
      <w:bookmarkStart w:id="1" w:name="_Toc11641050"/>
      <w:bookmarkStart w:id="2" w:name="_Toc485108766"/>
      <w:bookmarkStart w:id="3" w:name="_Toc25875"/>
      <w:r>
        <w:rPr>
          <w:rFonts w:hint="eastAsia" w:ascii="微软雅黑" w:hAnsi="微软雅黑" w:eastAsia="微软雅黑" w:cs="微软雅黑"/>
          <w:b/>
          <w:bCs/>
          <w:color w:val="auto"/>
          <w:sz w:val="36"/>
          <w:szCs w:val="36"/>
        </w:rPr>
        <w:t>第一篇  比选邀请书</w:t>
      </w:r>
      <w:bookmarkEnd w:id="0"/>
      <w:bookmarkEnd w:id="1"/>
      <w:bookmarkEnd w:id="2"/>
      <w:bookmarkEnd w:id="3"/>
    </w:p>
    <w:p>
      <w:pPr>
        <w:ind w:firstLine="480" w:firstLineChars="200"/>
        <w:jc w:val="left"/>
        <w:rPr>
          <w:rFonts w:hint="eastAsia" w:ascii="方正仿宋_GBK" w:hAnsi="宋体" w:eastAsia="方正仿宋_GBK" w:cs="Times New Roman"/>
          <w:color w:val="auto"/>
          <w:sz w:val="24"/>
          <w:szCs w:val="24"/>
        </w:rPr>
      </w:pPr>
      <w:bookmarkStart w:id="4" w:name="_Toc373860293"/>
      <w:bookmarkStart w:id="5" w:name="_Toc317775178"/>
      <w:r>
        <w:rPr>
          <w:rFonts w:hint="eastAsia" w:ascii="方正仿宋_GBK" w:hAnsi="宋体" w:eastAsia="方正仿宋_GBK" w:cs="Times New Roman"/>
          <w:color w:val="auto"/>
          <w:sz w:val="24"/>
          <w:szCs w:val="24"/>
        </w:rPr>
        <w:t>重庆医科大学附属永川医院对</w:t>
      </w:r>
      <w:r>
        <w:rPr>
          <w:rFonts w:hint="eastAsia" w:ascii="方正仿宋_GBK" w:hAnsi="宋体" w:eastAsia="方正仿宋_GBK" w:cs="Times New Roman"/>
          <w:color w:val="auto"/>
          <w:sz w:val="24"/>
          <w:szCs w:val="24"/>
          <w:lang w:eastAsia="zh-CN"/>
        </w:rPr>
        <w:t>一流课程建设服务</w:t>
      </w:r>
      <w:r>
        <w:rPr>
          <w:rFonts w:hint="eastAsia" w:ascii="方正仿宋_GBK" w:hAnsi="宋体" w:eastAsia="方正仿宋_GBK" w:cs="Times New Roman"/>
          <w:color w:val="auto"/>
          <w:sz w:val="24"/>
          <w:szCs w:val="24"/>
        </w:rPr>
        <w:t>进行院内比选采购。欢迎有资格、有实力的潜在供应商参加。</w:t>
      </w:r>
    </w:p>
    <w:p>
      <w:pPr>
        <w:pStyle w:val="3"/>
        <w:spacing w:line="240" w:lineRule="auto"/>
        <w:rPr>
          <w:rFonts w:hint="eastAsia" w:ascii="微软雅黑" w:hAnsi="微软雅黑" w:eastAsia="微软雅黑" w:cs="微软雅黑"/>
          <w:color w:val="auto"/>
          <w:sz w:val="24"/>
          <w:szCs w:val="24"/>
        </w:rPr>
      </w:pPr>
      <w:bookmarkStart w:id="6" w:name="_Toc313893526"/>
      <w:bookmarkStart w:id="7" w:name="_Toc28443"/>
      <w:bookmarkStart w:id="8" w:name="_Toc485108767"/>
      <w:bookmarkStart w:id="9" w:name="_Toc317775175"/>
      <w:r>
        <w:rPr>
          <w:rFonts w:hint="eastAsia" w:ascii="微软雅黑" w:hAnsi="微软雅黑" w:eastAsia="微软雅黑" w:cs="微软雅黑"/>
          <w:color w:val="auto"/>
          <w:sz w:val="24"/>
          <w:szCs w:val="24"/>
        </w:rPr>
        <w:t>一、比选内容</w:t>
      </w:r>
      <w:bookmarkEnd w:id="6"/>
      <w:bookmarkEnd w:id="7"/>
      <w:bookmarkEnd w:id="8"/>
      <w:bookmarkEnd w:id="9"/>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项目名称</w:t>
            </w:r>
          </w:p>
        </w:tc>
        <w:tc>
          <w:tcPr>
            <w:tcW w:w="2548"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成交供应商数量（名）</w:t>
            </w:r>
          </w:p>
        </w:tc>
        <w:tc>
          <w:tcPr>
            <w:tcW w:w="2851"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pPr>
              <w:spacing w:line="400" w:lineRule="exact"/>
              <w:jc w:val="center"/>
              <w:rPr>
                <w:rFonts w:hint="eastAsia" w:ascii="方正仿宋_GBK" w:hAnsi="宋体" w:eastAsia="方正仿宋_GBK"/>
                <w:color w:val="auto"/>
                <w:sz w:val="24"/>
                <w:szCs w:val="24"/>
                <w:lang w:val="en-US" w:eastAsia="zh-CN"/>
              </w:rPr>
            </w:pPr>
            <w:r>
              <w:rPr>
                <w:rFonts w:hint="eastAsia" w:ascii="方正仿宋_GBK" w:hAnsi="宋体" w:eastAsia="方正仿宋_GBK" w:cs="Times New Roman"/>
                <w:color w:val="auto"/>
                <w:sz w:val="24"/>
                <w:szCs w:val="24"/>
                <w:lang w:eastAsia="zh-CN"/>
              </w:rPr>
              <w:t>一流课程建设服务</w:t>
            </w:r>
          </w:p>
        </w:tc>
        <w:tc>
          <w:tcPr>
            <w:tcW w:w="2548"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1</w:t>
            </w:r>
          </w:p>
        </w:tc>
        <w:tc>
          <w:tcPr>
            <w:tcW w:w="2851" w:type="dxa"/>
            <w:vAlign w:val="center"/>
          </w:tcPr>
          <w:p>
            <w:pPr>
              <w:spacing w:line="400" w:lineRule="exact"/>
              <w:jc w:val="center"/>
              <w:rPr>
                <w:rFonts w:hint="default" w:ascii="方正仿宋_GBK" w:hAnsi="宋体" w:eastAsia="方正仿宋_GBK"/>
                <w:color w:val="auto"/>
                <w:sz w:val="24"/>
                <w:szCs w:val="24"/>
                <w:lang w:val="en-US" w:eastAsia="zh-CN"/>
              </w:rPr>
            </w:pPr>
          </w:p>
        </w:tc>
      </w:tr>
    </w:tbl>
    <w:p>
      <w:pPr>
        <w:pStyle w:val="22"/>
        <w:numPr>
          <w:ilvl w:val="0"/>
          <w:numId w:val="0"/>
        </w:numPr>
        <w:rPr>
          <w:rFonts w:hint="eastAsia" w:ascii="微软雅黑" w:hAnsi="微软雅黑" w:eastAsia="微软雅黑" w:cs="微软雅黑"/>
          <w:b/>
          <w:bCs/>
          <w:color w:val="auto"/>
          <w:sz w:val="24"/>
          <w:szCs w:val="24"/>
          <w:lang w:eastAsia="zh-CN"/>
        </w:rPr>
      </w:pPr>
      <w:bookmarkStart w:id="10" w:name="_Toc485108768"/>
      <w:bookmarkStart w:id="11" w:name="_Toc6609"/>
      <w:r>
        <w:rPr>
          <w:rFonts w:hint="eastAsia" w:ascii="微软雅黑" w:hAnsi="微软雅黑" w:eastAsia="微软雅黑" w:cs="微软雅黑"/>
          <w:b/>
          <w:bCs/>
          <w:color w:val="auto"/>
          <w:sz w:val="24"/>
          <w:szCs w:val="24"/>
          <w:lang w:val="en-US" w:eastAsia="zh-CN"/>
        </w:rPr>
        <w:t>二、资金来源</w:t>
      </w:r>
      <w:bookmarkEnd w:id="10"/>
      <w:bookmarkEnd w:id="11"/>
      <w:r>
        <w:rPr>
          <w:rFonts w:hint="eastAsia" w:ascii="微软雅黑" w:hAnsi="微软雅黑" w:eastAsia="微软雅黑" w:cs="微软雅黑"/>
          <w:b/>
          <w:bCs/>
          <w:color w:val="auto"/>
          <w:sz w:val="24"/>
          <w:szCs w:val="24"/>
          <w:lang w:val="en-US" w:eastAsia="zh-CN"/>
        </w:rPr>
        <w:t>：教学建设专项经费。</w:t>
      </w:r>
    </w:p>
    <w:p>
      <w:pPr>
        <w:pStyle w:val="22"/>
        <w:numPr>
          <w:ilvl w:val="0"/>
          <w:numId w:val="0"/>
        </w:numPr>
        <w:rPr>
          <w:rFonts w:hint="default" w:eastAsia="微软雅黑"/>
          <w:b/>
          <w:bCs/>
          <w:color w:val="auto"/>
          <w:lang w:val="en-US" w:eastAsia="zh-CN"/>
        </w:rPr>
      </w:pPr>
      <w:r>
        <w:rPr>
          <w:rFonts w:hint="eastAsia" w:ascii="微软雅黑" w:hAnsi="微软雅黑" w:eastAsia="微软雅黑" w:cs="微软雅黑"/>
          <w:b/>
          <w:bCs/>
          <w:color w:val="auto"/>
          <w:sz w:val="24"/>
          <w:szCs w:val="24"/>
          <w:lang w:eastAsia="zh-CN"/>
        </w:rPr>
        <w:t>三</w:t>
      </w:r>
      <w:r>
        <w:rPr>
          <w:rFonts w:hint="eastAsia" w:ascii="微软雅黑" w:hAnsi="微软雅黑" w:eastAsia="微软雅黑" w:cs="微软雅黑"/>
          <w:b/>
          <w:bCs/>
          <w:color w:val="auto"/>
          <w:sz w:val="24"/>
          <w:szCs w:val="24"/>
        </w:rPr>
        <w:t>、</w:t>
      </w:r>
      <w:r>
        <w:rPr>
          <w:rFonts w:hint="eastAsia" w:ascii="微软雅黑" w:hAnsi="微软雅黑" w:eastAsia="微软雅黑" w:cs="微软雅黑"/>
          <w:b/>
          <w:bCs/>
          <w:color w:val="auto"/>
          <w:sz w:val="24"/>
          <w:szCs w:val="24"/>
          <w:lang w:eastAsia="zh-CN"/>
        </w:rPr>
        <w:t>项目预算：</w:t>
      </w:r>
      <w:r>
        <w:rPr>
          <w:rFonts w:hint="eastAsia" w:ascii="微软雅黑" w:hAnsi="微软雅黑" w:eastAsia="微软雅黑" w:cs="微软雅黑"/>
          <w:b/>
          <w:bCs/>
          <w:color w:val="auto"/>
          <w:sz w:val="24"/>
          <w:szCs w:val="24"/>
          <w:lang w:val="en-US" w:eastAsia="zh-CN"/>
        </w:rPr>
        <w:t>2万元</w:t>
      </w:r>
    </w:p>
    <w:p>
      <w:pPr>
        <w:pStyle w:val="3"/>
        <w:spacing w:line="240" w:lineRule="auto"/>
        <w:rPr>
          <w:rStyle w:val="69"/>
          <w:rFonts w:hint="eastAsia" w:ascii="微软雅黑" w:hAnsi="微软雅黑" w:eastAsia="微软雅黑" w:cs="微软雅黑"/>
          <w:b/>
          <w:color w:val="auto"/>
          <w:sz w:val="24"/>
          <w:szCs w:val="24"/>
        </w:rPr>
      </w:pPr>
      <w:bookmarkStart w:id="12" w:name="_Toc485108769"/>
      <w:bookmarkStart w:id="13" w:name="_Toc23857"/>
      <w:r>
        <w:rPr>
          <w:rFonts w:hint="eastAsia" w:ascii="微软雅黑" w:hAnsi="微软雅黑" w:eastAsia="微软雅黑" w:cs="微软雅黑"/>
          <w:color w:val="auto"/>
          <w:sz w:val="24"/>
          <w:szCs w:val="24"/>
          <w:lang w:eastAsia="zh-CN"/>
        </w:rPr>
        <w:t>四</w:t>
      </w:r>
      <w:r>
        <w:rPr>
          <w:rFonts w:hint="eastAsia" w:ascii="微软雅黑" w:hAnsi="微软雅黑" w:eastAsia="微软雅黑" w:cs="微软雅黑"/>
          <w:color w:val="auto"/>
          <w:sz w:val="24"/>
          <w:szCs w:val="24"/>
        </w:rPr>
        <w:t>、</w:t>
      </w:r>
      <w:bookmarkEnd w:id="12"/>
      <w:r>
        <w:rPr>
          <w:rFonts w:hint="eastAsia" w:ascii="微软雅黑" w:hAnsi="微软雅黑" w:eastAsia="微软雅黑" w:cs="微软雅黑"/>
          <w:color w:val="auto"/>
          <w:sz w:val="24"/>
          <w:szCs w:val="24"/>
        </w:rPr>
        <w:t>供应商资格要求</w:t>
      </w:r>
      <w:bookmarkEnd w:id="13"/>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成交供应商是指向采购人提供</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、工程或者服务的法人、其他组织或者自然人。以下简称供应商。合格的供应商应首先符合政府采购法第二十二条规定的基本条件，同时符合根据该项目特殊要求设置的特定资格条件。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w:t>
      </w:r>
      <w:r>
        <w:rPr>
          <w:rFonts w:hint="eastAsia" w:ascii="方正仿宋_GBK" w:hAnsi="宋体" w:eastAsia="方正仿宋_GBK"/>
          <w:color w:val="auto"/>
          <w:sz w:val="24"/>
          <w:szCs w:val="24"/>
        </w:rPr>
        <w:t>基本</w:t>
      </w:r>
      <w:r>
        <w:rPr>
          <w:rFonts w:hint="eastAsia" w:ascii="方正仿宋_GBK" w:hAnsi="宋体" w:eastAsia="方正仿宋_GBK" w:cs="Times New Roman"/>
          <w:color w:val="auto"/>
          <w:sz w:val="24"/>
          <w:szCs w:val="24"/>
        </w:rPr>
        <w:t>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1.具有独立承担民事责任的能力；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2.具有良好的商业信誉和健全的财务会计制度；</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3.具有履行合同所必需的设备和专业技术能力；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4.有依法缴纳税收和社会保障资金的良好记录；</w:t>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5.参加政府采购活动前三年内，在经营活动中没有重大违法记录；</w:t>
      </w:r>
    </w:p>
    <w:p>
      <w:pPr>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6.法律、行政法规规定的其他条件。</w:t>
      </w:r>
    </w:p>
    <w:p>
      <w:pPr>
        <w:pageBreakBefore w:val="0"/>
        <w:widowControl w:val="0"/>
        <w:kinsoku/>
        <w:wordWrap/>
        <w:overflowPunct/>
        <w:topLinePunct w:val="0"/>
        <w:autoSpaceDE/>
        <w:autoSpaceDN/>
        <w:bidi w:val="0"/>
        <w:adjustRightInd/>
        <w:snapToGrid/>
        <w:ind w:firstLine="480" w:firstLineChars="200"/>
        <w:textAlignment w:val="auto"/>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eastAsia="zh-CN"/>
        </w:rPr>
        <w:t>（二）特定资格条件</w:t>
      </w:r>
      <w:bookmarkEnd w:id="4"/>
      <w:bookmarkEnd w:id="5"/>
      <w:bookmarkStart w:id="14" w:name="_Toc6"/>
      <w:bookmarkStart w:id="15" w:name="_Toc11958"/>
      <w:bookmarkStart w:id="16" w:name="_Toc102227313"/>
      <w:bookmarkStart w:id="17" w:name="_Toc485108774"/>
    </w:p>
    <w:p>
      <w:pPr>
        <w:pStyle w:val="3"/>
        <w:spacing w:line="240" w:lineRule="auto"/>
        <w:ind w:firstLine="480" w:firstLineChars="200"/>
        <w:rPr>
          <w:rFonts w:hint="eastAsia" w:ascii="方正仿宋_GBK" w:hAnsi="宋体" w:eastAsia="方正仿宋_GBK" w:cs="Times New Roman"/>
          <w:b w:val="0"/>
          <w:color w:val="auto"/>
          <w:kern w:val="2"/>
          <w:sz w:val="24"/>
          <w:szCs w:val="24"/>
          <w:lang w:val="en-US" w:eastAsia="zh-CN" w:bidi="ar-SA"/>
        </w:rPr>
      </w:pPr>
      <w:r>
        <w:rPr>
          <w:rFonts w:hint="eastAsia" w:ascii="方正仿宋_GBK" w:hAnsi="宋体" w:eastAsia="方正仿宋_GBK" w:cs="Times New Roman"/>
          <w:b w:val="0"/>
          <w:color w:val="auto"/>
          <w:kern w:val="2"/>
          <w:sz w:val="24"/>
          <w:szCs w:val="24"/>
          <w:lang w:val="en-US" w:eastAsia="zh-CN" w:bidi="ar-SA"/>
        </w:rPr>
        <w:t>有效的三证合一营业执照。</w:t>
      </w:r>
    </w:p>
    <w:p>
      <w:pPr>
        <w:pStyle w:val="3"/>
        <w:spacing w:line="240" w:lineRule="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五、比选有关说明</w:t>
      </w:r>
      <w:bookmarkEnd w:id="14"/>
      <w:bookmarkEnd w:id="15"/>
      <w:r>
        <w:rPr>
          <w:rFonts w:hint="eastAsia" w:ascii="微软雅黑" w:hAnsi="微软雅黑" w:eastAsia="微软雅黑" w:cs="微软雅黑"/>
          <w:color w:val="auto"/>
          <w:sz w:val="24"/>
          <w:szCs w:val="24"/>
          <w:lang w:val="en-US" w:eastAsia="zh-CN"/>
        </w:rPr>
        <w:tab/>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（一）凡有意参加比选的供应商，请在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官网下载本项目比选文件以及图纸、澄清等比选前公布的所有项目资料，无论供应商下载与否，均视为已知晓所有比选实质性要求内容。</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（二）比选公告期限：自采购公告发布之日</w:t>
      </w:r>
      <w:r>
        <w:rPr>
          <w:rFonts w:hint="eastAsia" w:ascii="方正仿宋_GBK" w:hAnsi="宋体" w:eastAsia="方正仿宋_GBK" w:cs="Times New Roman"/>
          <w:b/>
          <w:bCs/>
          <w:color w:val="auto"/>
          <w:sz w:val="24"/>
          <w:szCs w:val="24"/>
        </w:rPr>
        <w:t>（</w:t>
      </w:r>
      <w:r>
        <w:rPr>
          <w:rFonts w:hint="eastAsia" w:ascii="方正仿宋_GBK" w:hAnsi="宋体" w:eastAsia="方正仿宋_GBK" w:cs="Times New Roman"/>
          <w:b/>
          <w:bCs/>
          <w:color w:val="auto"/>
          <w:sz w:val="24"/>
          <w:szCs w:val="24"/>
          <w:lang w:eastAsia="zh-CN"/>
        </w:rPr>
        <w:t>202</w:t>
      </w:r>
      <w:r>
        <w:rPr>
          <w:rFonts w:hint="eastAsia" w:ascii="方正仿宋_GBK" w:hAnsi="宋体" w:eastAsia="方正仿宋_GBK" w:cs="Times New Roman"/>
          <w:b/>
          <w:bCs/>
          <w:color w:val="auto"/>
          <w:sz w:val="24"/>
          <w:szCs w:val="24"/>
          <w:lang w:val="en-US" w:eastAsia="zh-CN"/>
        </w:rPr>
        <w:t>4</w:t>
      </w:r>
      <w:r>
        <w:rPr>
          <w:rFonts w:hint="eastAsia" w:ascii="方正仿宋_GBK" w:hAnsi="宋体" w:eastAsia="方正仿宋_GBK" w:cs="Times New Roman"/>
          <w:b/>
          <w:bCs/>
          <w:color w:val="auto"/>
          <w:sz w:val="24"/>
          <w:szCs w:val="24"/>
        </w:rPr>
        <w:t>年</w:t>
      </w:r>
      <w:r>
        <w:rPr>
          <w:rFonts w:hint="eastAsia" w:ascii="方正仿宋_GBK" w:hAnsi="宋体" w:eastAsia="方正仿宋_GBK" w:cs="Times New Roman"/>
          <w:b/>
          <w:bCs/>
          <w:color w:val="auto"/>
          <w:sz w:val="24"/>
          <w:szCs w:val="24"/>
          <w:lang w:val="en-US" w:eastAsia="zh-CN"/>
        </w:rPr>
        <w:t>5</w:t>
      </w:r>
      <w:r>
        <w:rPr>
          <w:rFonts w:hint="eastAsia" w:ascii="方正仿宋_GBK" w:hAnsi="宋体" w:eastAsia="方正仿宋_GBK" w:cs="Times New Roman"/>
          <w:b/>
          <w:bCs/>
          <w:color w:val="auto"/>
          <w:sz w:val="24"/>
          <w:szCs w:val="24"/>
        </w:rPr>
        <w:t>月</w:t>
      </w:r>
      <w:r>
        <w:rPr>
          <w:rFonts w:hint="eastAsia" w:ascii="方正仿宋_GBK" w:hAnsi="宋体" w:eastAsia="方正仿宋_GBK" w:cs="Times New Roman"/>
          <w:b/>
          <w:bCs/>
          <w:color w:val="auto"/>
          <w:sz w:val="24"/>
          <w:szCs w:val="24"/>
          <w:lang w:val="en-US" w:eastAsia="zh-CN"/>
        </w:rPr>
        <w:t>14</w:t>
      </w:r>
      <w:r>
        <w:rPr>
          <w:rFonts w:hint="eastAsia" w:ascii="方正仿宋_GBK" w:hAnsi="宋体" w:eastAsia="方正仿宋_GBK" w:cs="Times New Roman"/>
          <w:b/>
          <w:bCs/>
          <w:color w:val="auto"/>
          <w:sz w:val="24"/>
          <w:szCs w:val="24"/>
        </w:rPr>
        <w:t>日）</w:t>
      </w:r>
      <w:r>
        <w:rPr>
          <w:rFonts w:hint="eastAsia" w:ascii="方正仿宋_GBK" w:hAnsi="宋体" w:eastAsia="方正仿宋_GBK" w:cs="Times New Roman"/>
          <w:color w:val="auto"/>
          <w:sz w:val="24"/>
          <w:szCs w:val="24"/>
        </w:rPr>
        <w:t>起</w:t>
      </w:r>
      <w:r>
        <w:rPr>
          <w:rFonts w:hint="eastAsia" w:ascii="方正仿宋_GBK" w:hAnsi="宋体" w:eastAsia="方正仿宋_GBK" w:cs="Times New Roman"/>
          <w:color w:val="auto"/>
          <w:sz w:val="24"/>
          <w:szCs w:val="24"/>
          <w:lang w:eastAsia="zh-CN"/>
        </w:rPr>
        <w:t>三</w:t>
      </w:r>
      <w:r>
        <w:rPr>
          <w:rFonts w:hint="eastAsia" w:ascii="方正仿宋_GBK" w:hAnsi="宋体" w:eastAsia="方正仿宋_GBK" w:cs="Times New Roman"/>
          <w:color w:val="auto"/>
          <w:sz w:val="24"/>
          <w:szCs w:val="24"/>
        </w:rPr>
        <w:t>个工作日。</w:t>
      </w:r>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）凡有意参加的供应商，请于</w:t>
      </w:r>
      <w:r>
        <w:rPr>
          <w:rFonts w:hint="eastAsia" w:ascii="方正仿宋_GBK" w:hAnsi="宋体" w:eastAsia="方正仿宋_GBK"/>
          <w:b/>
          <w:bCs/>
          <w:color w:val="auto"/>
          <w:sz w:val="24"/>
          <w:szCs w:val="24"/>
        </w:rPr>
        <w:t>202</w:t>
      </w:r>
      <w:r>
        <w:rPr>
          <w:rFonts w:hint="eastAsia" w:ascii="方正仿宋_GBK" w:hAnsi="宋体" w:eastAsia="方正仿宋_GBK"/>
          <w:b/>
          <w:bCs/>
          <w:color w:val="auto"/>
          <w:sz w:val="24"/>
          <w:szCs w:val="24"/>
          <w:lang w:val="en-US" w:eastAsia="zh-CN"/>
        </w:rPr>
        <w:t>4</w:t>
      </w:r>
      <w:r>
        <w:rPr>
          <w:rFonts w:hint="eastAsia" w:ascii="方正仿宋_GBK" w:hAnsi="宋体" w:eastAsia="方正仿宋_GBK"/>
          <w:b/>
          <w:bCs/>
          <w:color w:val="auto"/>
          <w:sz w:val="24"/>
          <w:szCs w:val="24"/>
        </w:rPr>
        <w:t>年</w:t>
      </w:r>
      <w:r>
        <w:rPr>
          <w:rFonts w:hint="eastAsia" w:ascii="方正仿宋_GBK" w:hAnsi="宋体" w:eastAsia="方正仿宋_GBK"/>
          <w:b/>
          <w:bCs/>
          <w:color w:val="auto"/>
          <w:sz w:val="24"/>
          <w:szCs w:val="24"/>
          <w:lang w:val="en-US" w:eastAsia="zh-CN"/>
        </w:rPr>
        <w:t>5</w:t>
      </w:r>
      <w:r>
        <w:rPr>
          <w:rFonts w:hint="eastAsia" w:ascii="方正仿宋_GBK" w:hAnsi="宋体" w:eastAsia="方正仿宋_GBK"/>
          <w:b/>
          <w:bCs/>
          <w:color w:val="auto"/>
          <w:sz w:val="24"/>
          <w:szCs w:val="24"/>
        </w:rPr>
        <w:t>月</w:t>
      </w:r>
      <w:r>
        <w:rPr>
          <w:rFonts w:hint="eastAsia" w:ascii="方正仿宋_GBK" w:hAnsi="宋体" w:eastAsia="方正仿宋_GBK"/>
          <w:b/>
          <w:bCs/>
          <w:color w:val="auto"/>
          <w:sz w:val="24"/>
          <w:szCs w:val="24"/>
          <w:lang w:val="en-US" w:eastAsia="zh-CN"/>
        </w:rPr>
        <w:t>14</w:t>
      </w:r>
      <w:r>
        <w:rPr>
          <w:rFonts w:hint="eastAsia" w:ascii="方正仿宋_GBK" w:hAnsi="宋体" w:eastAsia="方正仿宋_GBK"/>
          <w:b/>
          <w:bCs/>
          <w:color w:val="auto"/>
          <w:sz w:val="24"/>
          <w:szCs w:val="24"/>
        </w:rPr>
        <w:t>日</w:t>
      </w:r>
      <w:r>
        <w:rPr>
          <w:rFonts w:hint="eastAsia" w:ascii="方正仿宋_GBK" w:hAnsi="宋体" w:eastAsia="方正仿宋_GBK"/>
          <w:b/>
          <w:bCs/>
          <w:color w:val="auto"/>
          <w:sz w:val="24"/>
          <w:szCs w:val="24"/>
          <w:lang w:val="en-US" w:eastAsia="zh-CN"/>
        </w:rPr>
        <w:t>0:00</w:t>
      </w:r>
      <w:r>
        <w:rPr>
          <w:rFonts w:hint="eastAsia" w:ascii="方正仿宋_GBK" w:hAnsi="宋体" w:eastAsia="方正仿宋_GBK"/>
          <w:b/>
          <w:bCs/>
          <w:color w:val="auto"/>
          <w:sz w:val="24"/>
          <w:szCs w:val="24"/>
        </w:rPr>
        <w:t>时至202</w:t>
      </w:r>
      <w:r>
        <w:rPr>
          <w:rFonts w:hint="eastAsia" w:ascii="方正仿宋_GBK" w:hAnsi="宋体" w:eastAsia="方正仿宋_GBK"/>
          <w:b/>
          <w:bCs/>
          <w:color w:val="auto"/>
          <w:sz w:val="24"/>
          <w:szCs w:val="24"/>
          <w:lang w:val="en-US" w:eastAsia="zh-CN"/>
        </w:rPr>
        <w:t>4</w:t>
      </w:r>
      <w:r>
        <w:rPr>
          <w:rFonts w:hint="eastAsia" w:ascii="方正仿宋_GBK" w:hAnsi="宋体" w:eastAsia="方正仿宋_GBK"/>
          <w:b/>
          <w:bCs/>
          <w:color w:val="auto"/>
          <w:sz w:val="24"/>
          <w:szCs w:val="24"/>
        </w:rPr>
        <w:t>年</w:t>
      </w:r>
      <w:r>
        <w:rPr>
          <w:rFonts w:hint="eastAsia" w:ascii="方正仿宋_GBK" w:hAnsi="宋体" w:eastAsia="方正仿宋_GBK"/>
          <w:b/>
          <w:bCs/>
          <w:color w:val="auto"/>
          <w:sz w:val="24"/>
          <w:szCs w:val="24"/>
          <w:lang w:val="en-US" w:eastAsia="zh-CN"/>
        </w:rPr>
        <w:t>5</w:t>
      </w:r>
      <w:r>
        <w:rPr>
          <w:rFonts w:hint="eastAsia" w:ascii="方正仿宋_GBK" w:hAnsi="宋体" w:eastAsia="方正仿宋_GBK"/>
          <w:b/>
          <w:bCs/>
          <w:color w:val="auto"/>
          <w:sz w:val="24"/>
          <w:szCs w:val="24"/>
        </w:rPr>
        <w:t>月</w:t>
      </w:r>
      <w:r>
        <w:rPr>
          <w:rFonts w:hint="eastAsia" w:ascii="方正仿宋_GBK" w:hAnsi="宋体" w:eastAsia="方正仿宋_GBK"/>
          <w:b/>
          <w:bCs/>
          <w:color w:val="auto"/>
          <w:sz w:val="24"/>
          <w:szCs w:val="24"/>
          <w:lang w:val="en-US" w:eastAsia="zh-CN"/>
        </w:rPr>
        <w:t>16</w:t>
      </w:r>
      <w:r>
        <w:rPr>
          <w:rFonts w:hint="eastAsia" w:ascii="方正仿宋_GBK" w:hAnsi="宋体" w:eastAsia="方正仿宋_GBK"/>
          <w:b/>
          <w:bCs/>
          <w:color w:val="auto"/>
          <w:sz w:val="24"/>
          <w:szCs w:val="24"/>
        </w:rPr>
        <w:t>日</w:t>
      </w:r>
      <w:r>
        <w:rPr>
          <w:rFonts w:hint="eastAsia" w:ascii="方正仿宋_GBK" w:hAnsi="宋体" w:eastAsia="方正仿宋_GBK"/>
          <w:b/>
          <w:bCs/>
          <w:color w:val="auto"/>
          <w:sz w:val="24"/>
          <w:szCs w:val="24"/>
          <w:lang w:val="en-US" w:eastAsia="zh-CN"/>
        </w:rPr>
        <w:t>24:00</w:t>
      </w:r>
      <w:r>
        <w:rPr>
          <w:rFonts w:hint="eastAsia" w:ascii="方正仿宋_GBK" w:hAnsi="宋体" w:eastAsia="方正仿宋_GBK"/>
          <w:b/>
          <w:bCs/>
          <w:color w:val="auto"/>
          <w:sz w:val="24"/>
          <w:szCs w:val="24"/>
        </w:rPr>
        <w:t>时</w:t>
      </w:r>
      <w:r>
        <w:rPr>
          <w:rFonts w:hint="eastAsia" w:ascii="方正仿宋_GBK" w:hAnsi="宋体" w:eastAsia="方正仿宋_GBK"/>
          <w:color w:val="auto"/>
          <w:sz w:val="24"/>
          <w:szCs w:val="24"/>
        </w:rPr>
        <w:t>（法定公休日、法定节假日除外）</w:t>
      </w:r>
      <w:r>
        <w:rPr>
          <w:rFonts w:hint="eastAsia" w:ascii="方正仿宋_GBK" w:hAnsi="宋体" w:eastAsia="方正仿宋_GBK"/>
          <w:b/>
          <w:bCs/>
          <w:color w:val="auto"/>
          <w:sz w:val="24"/>
          <w:szCs w:val="24"/>
          <w:u w:val="single"/>
          <w:lang w:eastAsia="zh-CN"/>
        </w:rPr>
        <w:t>现场递交</w:t>
      </w:r>
      <w:r>
        <w:rPr>
          <w:rFonts w:hint="eastAsia" w:ascii="方正仿宋_GBK" w:hAnsi="宋体" w:eastAsia="方正仿宋_GBK"/>
          <w:b w:val="0"/>
          <w:bCs w:val="0"/>
          <w:color w:val="auto"/>
          <w:sz w:val="24"/>
          <w:szCs w:val="24"/>
          <w:lang w:eastAsia="zh-CN"/>
        </w:rPr>
        <w:t>或</w:t>
      </w:r>
      <w:r>
        <w:rPr>
          <w:rFonts w:hint="eastAsia" w:ascii="方正仿宋_GBK" w:hAnsi="宋体" w:eastAsia="方正仿宋_GBK"/>
          <w:b/>
          <w:bCs/>
          <w:color w:val="auto"/>
          <w:sz w:val="24"/>
          <w:szCs w:val="24"/>
          <w:u w:val="single"/>
        </w:rPr>
        <w:t>顺丰邮寄纸质版</w:t>
      </w:r>
      <w:r>
        <w:rPr>
          <w:rFonts w:hint="eastAsia" w:ascii="方正仿宋_GBK" w:hAnsi="宋体" w:eastAsia="方正仿宋_GBK"/>
          <w:b/>
          <w:bCs/>
          <w:color w:val="auto"/>
          <w:sz w:val="24"/>
          <w:szCs w:val="24"/>
        </w:rPr>
        <w:t>资质文件报名。</w:t>
      </w:r>
    </w:p>
    <w:p>
      <w:pPr>
        <w:spacing w:line="400" w:lineRule="exact"/>
        <w:ind w:firstLine="482" w:firstLineChars="200"/>
        <w:jc w:val="left"/>
        <w:rPr>
          <w:rFonts w:ascii="方正仿宋_GBK" w:hAnsi="宋体" w:eastAsia="方正仿宋_GBK" w:cs="Times New Roman"/>
          <w:color w:val="auto"/>
          <w:sz w:val="24"/>
          <w:szCs w:val="24"/>
        </w:rPr>
      </w:pPr>
      <w:r>
        <w:rPr>
          <w:rFonts w:hint="eastAsia" w:ascii="方正仿宋_GBK" w:hAnsi="宋体" w:eastAsia="方正仿宋_GBK"/>
          <w:b/>
          <w:bCs/>
          <w:color w:val="auto"/>
          <w:sz w:val="24"/>
          <w:szCs w:val="24"/>
        </w:rPr>
        <w:t>报名方式：</w:t>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t>请务必将参与</w:t>
      </w:r>
      <w:r>
        <w:rPr>
          <w:rFonts w:hint="eastAsia" w:ascii="方正仿宋_GBK" w:hAnsi="宋体" w:eastAsia="方正仿宋_GBK"/>
          <w:b/>
          <w:bCs/>
          <w:color w:val="auto"/>
          <w:sz w:val="24"/>
          <w:szCs w:val="24"/>
          <w:lang w:eastAsia="zh-CN"/>
        </w:rPr>
        <w:t>比选</w:t>
      </w:r>
      <w:r>
        <w:rPr>
          <w:rFonts w:hint="eastAsia" w:ascii="方正仿宋_GBK" w:hAnsi="宋体" w:eastAsia="方正仿宋_GBK"/>
          <w:b/>
          <w:bCs/>
          <w:color w:val="auto"/>
          <w:sz w:val="24"/>
          <w:szCs w:val="24"/>
        </w:rPr>
        <w:t>的采购项目名称及采购项目编号、供应商名称、联系人名称及联系方式、电子邮箱地址</w:t>
      </w:r>
      <w:r>
        <w:rPr>
          <w:rFonts w:hint="eastAsia" w:ascii="方正仿宋_GBK" w:hAnsi="宋体" w:eastAsia="方正仿宋_GBK"/>
          <w:b/>
          <w:bCs/>
          <w:color w:val="auto"/>
          <w:sz w:val="24"/>
          <w:szCs w:val="24"/>
          <w:lang w:eastAsia="zh-CN"/>
        </w:rPr>
        <w:t>以及法人授权文件</w:t>
      </w:r>
      <w:r>
        <w:rPr>
          <w:rFonts w:hint="eastAsia" w:ascii="方正仿宋_GBK" w:hAnsi="宋体" w:eastAsia="方正仿宋_GBK"/>
          <w:b/>
          <w:bCs/>
          <w:color w:val="auto"/>
          <w:sz w:val="24"/>
          <w:szCs w:val="24"/>
        </w:rPr>
        <w:t>，供应商一般资质和特定资格要求等相关信息，盖鲜章后的清晰纸质版文件</w:t>
      </w:r>
      <w:r>
        <w:rPr>
          <w:rFonts w:hint="eastAsia" w:ascii="方正仿宋_GBK" w:hAnsi="宋体" w:eastAsia="方正仿宋_GBK"/>
          <w:b/>
          <w:bCs/>
          <w:color w:val="auto"/>
          <w:sz w:val="24"/>
          <w:szCs w:val="24"/>
          <w:lang w:eastAsia="zh-CN"/>
        </w:rPr>
        <w:t>现场递交或者</w:t>
      </w:r>
      <w:r>
        <w:rPr>
          <w:rFonts w:hint="eastAsia" w:ascii="方正仿宋_GBK" w:hAnsi="宋体" w:eastAsia="方正仿宋_GBK"/>
          <w:b/>
          <w:bCs/>
          <w:color w:val="auto"/>
          <w:sz w:val="24"/>
          <w:szCs w:val="24"/>
        </w:rPr>
        <w:t>通过</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rPr>
        <w:t>给采购办</w:t>
      </w:r>
      <w:r>
        <w:rPr>
          <w:rFonts w:hint="eastAsia" w:ascii="方正仿宋_GBK" w:hAnsi="宋体" w:eastAsia="方正仿宋_GBK"/>
          <w:b/>
          <w:bCs/>
          <w:color w:val="auto"/>
          <w:sz w:val="24"/>
          <w:szCs w:val="24"/>
          <w:lang w:eastAsia="zh-CN"/>
        </w:rPr>
        <w:t>李</w:t>
      </w:r>
      <w:r>
        <w:rPr>
          <w:rFonts w:hint="eastAsia" w:ascii="方正仿宋_GBK" w:hAnsi="宋体" w:eastAsia="方正仿宋_GBK"/>
          <w:b/>
          <w:bCs/>
          <w:color w:val="auto"/>
          <w:sz w:val="24"/>
          <w:szCs w:val="24"/>
        </w:rPr>
        <w:t>老师收(收件地址:</w:t>
      </w:r>
      <w:r>
        <w:rPr>
          <w:rFonts w:hint="eastAsia" w:ascii="方正仿宋_GBK" w:hAnsi="宋体" w:eastAsia="方正仿宋_GBK"/>
          <w:b/>
          <w:bCs/>
          <w:color w:val="auto"/>
          <w:sz w:val="24"/>
          <w:szCs w:val="24"/>
          <w:u w:val="single"/>
        </w:rPr>
        <w:t>重庆市永川区萱花路439号采购办</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lang w:eastAsia="zh-CN"/>
        </w:rPr>
        <w:t>李</w:t>
      </w:r>
      <w:r>
        <w:rPr>
          <w:rFonts w:hint="eastAsia" w:ascii="方正仿宋_GBK" w:hAnsi="宋体" w:eastAsia="方正仿宋_GBK"/>
          <w:b/>
          <w:bCs/>
          <w:color w:val="auto"/>
          <w:sz w:val="24"/>
          <w:szCs w:val="24"/>
        </w:rPr>
        <w:t>老师:023-85385105,请一定使用</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u w:val="none"/>
          <w:lang w:eastAsia="zh-CN"/>
        </w:rPr>
        <w:t>，拒收</w:t>
      </w:r>
      <w:r>
        <w:rPr>
          <w:rFonts w:hint="eastAsia" w:ascii="方正仿宋_GBK" w:hAnsi="宋体" w:eastAsia="方正仿宋_GBK"/>
          <w:b/>
          <w:bCs/>
          <w:color w:val="auto"/>
          <w:sz w:val="24"/>
          <w:szCs w:val="24"/>
          <w:u w:val="single"/>
          <w:lang w:eastAsia="zh-CN"/>
        </w:rPr>
        <w:t>到付</w:t>
      </w:r>
      <w:r>
        <w:rPr>
          <w:rFonts w:hint="eastAsia" w:ascii="方正仿宋_GBK" w:hAnsi="宋体" w:eastAsia="方正仿宋_GBK"/>
          <w:b/>
          <w:bCs/>
          <w:color w:val="auto"/>
          <w:sz w:val="24"/>
          <w:szCs w:val="24"/>
          <w:u w:val="none"/>
          <w:lang w:eastAsia="zh-CN"/>
        </w:rPr>
        <w:t>邮件</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cs="Times New Roman"/>
          <w:color w:val="auto"/>
          <w:sz w:val="24"/>
          <w:szCs w:val="24"/>
        </w:rPr>
        <w:t>报名的单位名称必须与响应人名称相同，只有按上述规定报名后，才具备响应资格</w:t>
      </w:r>
      <w:r>
        <w:rPr>
          <w:rFonts w:hint="eastAsia" w:ascii="方正仿宋_GBK" w:hAnsi="宋体" w:eastAsia="方正仿宋_GBK" w:cs="Times New Roman"/>
          <w:color w:val="auto"/>
          <w:sz w:val="28"/>
          <w:szCs w:val="28"/>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（四）供应商须满足以下二种要件，其响应文件才被接受：</w:t>
      </w:r>
    </w:p>
    <w:p>
      <w:pPr>
        <w:spacing w:line="400" w:lineRule="exact"/>
        <w:ind w:left="10" w:leftChars="5" w:firstLine="720" w:firstLineChars="3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、按时</w:t>
      </w:r>
      <w:r>
        <w:rPr>
          <w:rFonts w:hint="eastAsia" w:ascii="方正仿宋_GBK" w:hAnsi="宋体" w:eastAsia="方正仿宋_GBK"/>
          <w:color w:val="auto"/>
          <w:sz w:val="24"/>
          <w:szCs w:val="24"/>
          <w:lang w:eastAsia="zh-CN"/>
        </w:rPr>
        <w:t>递交纸质版报名资料</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w:t>
      </w:r>
      <w:r>
        <w:rPr>
          <w:rFonts w:hint="eastAsia" w:ascii="方正仿宋_GBK" w:hAnsi="宋体" w:eastAsia="方正仿宋_GBK" w:cs="Times New Roman"/>
          <w:color w:val="auto"/>
          <w:sz w:val="24"/>
          <w:szCs w:val="24"/>
          <w:lang w:eastAsia="zh-CN"/>
        </w:rPr>
        <w:t>采购办公室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38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、按时递交了响应文件</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w:t>
      </w:r>
      <w:r>
        <w:rPr>
          <w:rFonts w:hint="eastAsia" w:ascii="方正仿宋_GBK" w:hAnsi="宋体" w:eastAsia="方正仿宋_GBK" w:cs="Times New Roman"/>
          <w:color w:val="auto"/>
          <w:sz w:val="24"/>
          <w:szCs w:val="24"/>
          <w:lang w:eastAsia="zh-CN"/>
        </w:rPr>
        <w:t>综合楼四楼会议室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（五）比选地点：重庆医科大学附属永川医院综合楼</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楼会议室（地址：重庆市永川区萱花路439号）</w:t>
      </w:r>
    </w:p>
    <w:p>
      <w:pPr>
        <w:ind w:firstLine="480"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rPr>
        <w:t>（六）响应文件递交开始时间：</w:t>
      </w:r>
      <w:r>
        <w:rPr>
          <w:rFonts w:hint="eastAsia" w:ascii="方正仿宋_GBK" w:hAnsi="宋体" w:eastAsia="方正仿宋_GBK" w:cs="Times New Roman"/>
          <w:color w:val="auto"/>
          <w:sz w:val="24"/>
          <w:szCs w:val="24"/>
          <w:lang w:eastAsia="zh-CN"/>
        </w:rPr>
        <w:t>待定。见官网通知</w:t>
      </w:r>
    </w:p>
    <w:p>
      <w:pPr>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 xml:space="preserve"> </w:t>
      </w:r>
      <w:bookmarkStart w:id="18" w:name="_Toc26538"/>
      <w:r>
        <w:rPr>
          <w:rFonts w:hint="eastAsia" w:ascii="方正仿宋_GBK" w:hAnsi="宋体" w:eastAsia="方正仿宋_GBK" w:cs="Times New Roman"/>
          <w:color w:val="auto"/>
          <w:sz w:val="24"/>
          <w:szCs w:val="24"/>
        </w:rPr>
        <w:t>（七）响应文件递交截止时间：</w:t>
      </w:r>
      <w:bookmarkEnd w:id="18"/>
      <w:r>
        <w:rPr>
          <w:rFonts w:hint="eastAsia" w:ascii="方正仿宋_GBK" w:hAnsi="宋体" w:eastAsia="方正仿宋_GBK" w:cs="Times New Roman"/>
          <w:color w:val="auto"/>
          <w:sz w:val="24"/>
          <w:szCs w:val="24"/>
          <w:lang w:eastAsia="zh-CN"/>
        </w:rPr>
        <w:t>待定。见官网通知</w:t>
      </w:r>
    </w:p>
    <w:p>
      <w:pPr>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 xml:space="preserve"> </w:t>
      </w:r>
      <w:bookmarkStart w:id="19" w:name="_Toc7033"/>
      <w:r>
        <w:rPr>
          <w:rFonts w:hint="eastAsia" w:ascii="方正仿宋_GBK" w:hAnsi="宋体" w:eastAsia="方正仿宋_GBK" w:cs="Times New Roman"/>
          <w:color w:val="auto"/>
          <w:sz w:val="24"/>
          <w:szCs w:val="24"/>
        </w:rPr>
        <w:t>（八）比选开始时间：</w:t>
      </w:r>
      <w:bookmarkEnd w:id="19"/>
      <w:r>
        <w:rPr>
          <w:rFonts w:hint="eastAsia" w:ascii="方正仿宋_GBK" w:hAnsi="宋体" w:eastAsia="方正仿宋_GBK" w:cs="Times New Roman"/>
          <w:color w:val="auto"/>
          <w:sz w:val="24"/>
          <w:szCs w:val="24"/>
          <w:lang w:eastAsia="zh-CN"/>
        </w:rPr>
        <w:t>待定。</w:t>
      </w:r>
    </w:p>
    <w:p>
      <w:pPr>
        <w:pStyle w:val="3"/>
        <w:bidi w:val="0"/>
        <w:rPr>
          <w:rFonts w:hint="eastAsia" w:ascii="微软雅黑" w:hAnsi="微软雅黑" w:eastAsia="微软雅黑" w:cs="微软雅黑"/>
          <w:color w:val="auto"/>
          <w:sz w:val="24"/>
          <w:szCs w:val="24"/>
          <w:lang w:val="en-US" w:eastAsia="zh-CN"/>
        </w:rPr>
      </w:pPr>
      <w:bookmarkStart w:id="20" w:name="_Toc29866"/>
      <w:r>
        <w:rPr>
          <w:rFonts w:hint="eastAsia" w:ascii="微软雅黑" w:hAnsi="微软雅黑" w:eastAsia="微软雅黑" w:cs="微软雅黑"/>
          <w:color w:val="auto"/>
          <w:sz w:val="24"/>
          <w:szCs w:val="24"/>
          <w:lang w:eastAsia="zh-CN"/>
        </w:rPr>
        <w:t>六</w:t>
      </w:r>
      <w:r>
        <w:rPr>
          <w:rFonts w:hint="eastAsia" w:ascii="微软雅黑" w:hAnsi="微软雅黑" w:eastAsia="微软雅黑" w:cs="微软雅黑"/>
          <w:color w:val="auto"/>
          <w:sz w:val="24"/>
          <w:szCs w:val="24"/>
        </w:rPr>
        <w:t>、本项目无需购买比选文件</w:t>
      </w:r>
      <w:bookmarkEnd w:id="20"/>
      <w:bookmarkStart w:id="21" w:name="_Toc54718176"/>
      <w:bookmarkStart w:id="22" w:name="_Toc373860294"/>
      <w:bookmarkStart w:id="23" w:name="_Toc54171062"/>
    </w:p>
    <w:bookmarkEnd w:id="21"/>
    <w:bookmarkEnd w:id="22"/>
    <w:bookmarkEnd w:id="23"/>
    <w:p>
      <w:pPr>
        <w:pStyle w:val="3"/>
        <w:bidi w:val="0"/>
        <w:rPr>
          <w:rFonts w:hint="eastAsia" w:ascii="微软雅黑" w:hAnsi="微软雅黑" w:eastAsia="微软雅黑" w:cs="微软雅黑"/>
          <w:color w:val="auto"/>
          <w:sz w:val="24"/>
          <w:szCs w:val="24"/>
        </w:rPr>
      </w:pPr>
      <w:bookmarkStart w:id="24" w:name="_Toc1625"/>
      <w:bookmarkStart w:id="25" w:name="_Toc2806"/>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、其它有关规定</w:t>
      </w:r>
      <w:bookmarkEnd w:id="24"/>
      <w:bookmarkEnd w:id="25"/>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（一）单位负责人为同一人或者存在直接控股、管理关系的不同供应商，</w:t>
      </w:r>
      <w:r>
        <w:rPr>
          <w:rFonts w:ascii="方正仿宋_GBK" w:hAnsi="宋体" w:eastAsia="方正仿宋_GBK" w:cs="Times New Roman"/>
          <w:color w:val="auto"/>
          <w:sz w:val="24"/>
          <w:szCs w:val="24"/>
        </w:rPr>
        <w:t>不得参加同一合同项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下的政府采购活动</w:t>
      </w:r>
      <w:r>
        <w:rPr>
          <w:rFonts w:hint="eastAsia" w:ascii="方正仿宋_GBK" w:hAnsi="宋体" w:eastAsia="方正仿宋_GBK" w:cs="Times New Roman"/>
          <w:color w:val="auto"/>
          <w:sz w:val="24"/>
          <w:szCs w:val="24"/>
        </w:rPr>
        <w:t>，否则均为无效比选。</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（二）为采购项目提供整体设计、规范编制或者项目管理、监理、检测等服务的供应商，不得再</w:t>
      </w:r>
      <w:r>
        <w:rPr>
          <w:rFonts w:ascii="方正仿宋_GBK" w:hAnsi="宋体" w:eastAsia="方正仿宋_GBK" w:cs="Times New Roman"/>
          <w:color w:val="auto"/>
          <w:sz w:val="24"/>
          <w:szCs w:val="24"/>
        </w:rPr>
        <w:t>参加</w:t>
      </w:r>
      <w:r>
        <w:rPr>
          <w:rFonts w:hint="eastAsia" w:ascii="方正仿宋_GBK" w:hAnsi="宋体" w:eastAsia="方正仿宋_GBK" w:cs="Times New Roman"/>
          <w:color w:val="auto"/>
          <w:sz w:val="24"/>
          <w:szCs w:val="24"/>
        </w:rPr>
        <w:t>该采购</w:t>
      </w:r>
      <w:r>
        <w:rPr>
          <w:rFonts w:ascii="方正仿宋_GBK" w:hAnsi="宋体" w:eastAsia="方正仿宋_GBK" w:cs="Times New Roman"/>
          <w:color w:val="auto"/>
          <w:sz w:val="24"/>
          <w:szCs w:val="24"/>
        </w:rPr>
        <w:t>项目的</w:t>
      </w:r>
      <w:r>
        <w:rPr>
          <w:rFonts w:hint="eastAsia" w:ascii="方正仿宋_GBK" w:hAnsi="宋体" w:eastAsia="方正仿宋_GBK" w:cs="Times New Roman"/>
          <w:color w:val="auto"/>
          <w:sz w:val="24"/>
          <w:szCs w:val="24"/>
        </w:rPr>
        <w:t>其他</w:t>
      </w:r>
      <w:r>
        <w:rPr>
          <w:rFonts w:ascii="方正仿宋_GBK" w:hAnsi="宋体" w:eastAsia="方正仿宋_GBK" w:cs="Times New Roman"/>
          <w:color w:val="auto"/>
          <w:sz w:val="24"/>
          <w:szCs w:val="24"/>
        </w:rPr>
        <w:t>采购活动</w:t>
      </w:r>
      <w:r>
        <w:rPr>
          <w:rFonts w:hint="eastAsia" w:ascii="方正仿宋_GBK" w:hAnsi="宋体" w:eastAsia="方正仿宋_GBK" w:cs="Times New Roman"/>
          <w:color w:val="auto"/>
          <w:sz w:val="24"/>
          <w:szCs w:val="24"/>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（三）同一合同项（分包）下为单一品目的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采购中， 同一品牌同一型号产品有多家供应商参加比选，只能按照一家供应商计算。</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（四）同一合同项（分包）下的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，制造商参与比选的，不得再委托代理商参与比选。</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（五）本项目在响应文件提交截止时间前发布的比选文件及补遗文件（如果有）一律在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官网上发布，请各供应商注意下载；无论供应商下载或与否，均视同供应商已知晓本项目澄清文件（如果有）的内容。</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w:t>
      </w:r>
      <w:r>
        <w:rPr>
          <w:rFonts w:hint="eastAsia" w:ascii="方正仿宋_GBK" w:hAnsi="宋体" w:eastAsia="方正仿宋_GBK"/>
          <w:color w:val="auto"/>
          <w:sz w:val="24"/>
          <w:szCs w:val="24"/>
        </w:rPr>
        <w:t>未</w:t>
      </w:r>
      <w:r>
        <w:rPr>
          <w:rFonts w:hint="eastAsia" w:ascii="方正仿宋_GBK" w:hAnsi="宋体" w:eastAsia="方正仿宋_GBK"/>
          <w:color w:val="auto"/>
          <w:sz w:val="24"/>
          <w:szCs w:val="24"/>
          <w:lang w:val="en-US" w:eastAsia="zh-CN"/>
        </w:rPr>
        <w:t>按时</w:t>
      </w:r>
      <w:r>
        <w:rPr>
          <w:rFonts w:hint="eastAsia" w:ascii="方正仿宋_GBK" w:hAnsi="宋体" w:eastAsia="方正仿宋_GBK"/>
          <w:color w:val="auto"/>
          <w:sz w:val="24"/>
          <w:szCs w:val="24"/>
        </w:rPr>
        <w:t>报名的，其响应文件恕不接收，</w:t>
      </w:r>
      <w:r>
        <w:rPr>
          <w:rFonts w:hint="eastAsia" w:ascii="方正仿宋_GBK" w:hAnsi="宋体" w:eastAsia="方正仿宋_GBK" w:cs="Times New Roman"/>
          <w:color w:val="auto"/>
          <w:sz w:val="24"/>
          <w:szCs w:val="24"/>
        </w:rPr>
        <w:t>超过响应文件截止时间递交的响应文件，恕不接收。</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（七）比选费用：无论比选结果如何，供应商参与本项目比选的所有费用均应由供应商自行承担。</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（八）本项目不接受联合体参与比选或不接受合同分包、转包。</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pPr>
        <w:pStyle w:val="3"/>
        <w:spacing w:line="240" w:lineRule="auto"/>
        <w:rPr>
          <w:rFonts w:hint="eastAsia" w:ascii="微软雅黑" w:hAnsi="微软雅黑" w:eastAsia="微软雅黑" w:cs="微软雅黑"/>
          <w:color w:val="auto"/>
          <w:sz w:val="24"/>
          <w:szCs w:val="24"/>
        </w:rPr>
      </w:pPr>
      <w:bookmarkStart w:id="26" w:name="_Toc9130"/>
      <w:bookmarkStart w:id="27" w:name="_Toc31390"/>
      <w:r>
        <w:rPr>
          <w:rFonts w:hint="eastAsia" w:ascii="微软雅黑" w:hAnsi="微软雅黑" w:eastAsia="微软雅黑" w:cs="微软雅黑"/>
          <w:color w:val="auto"/>
          <w:sz w:val="24"/>
          <w:szCs w:val="24"/>
          <w:lang w:eastAsia="zh-CN"/>
        </w:rPr>
        <w:t>八</w:t>
      </w:r>
      <w:r>
        <w:rPr>
          <w:rFonts w:hint="eastAsia" w:ascii="微软雅黑" w:hAnsi="微软雅黑" w:eastAsia="微软雅黑" w:cs="微软雅黑"/>
          <w:color w:val="auto"/>
          <w:sz w:val="24"/>
          <w:szCs w:val="24"/>
        </w:rPr>
        <w:t>、联系方式</w:t>
      </w:r>
      <w:bookmarkEnd w:id="26"/>
      <w:bookmarkEnd w:id="27"/>
    </w:p>
    <w:bookmarkEnd w:id="16"/>
    <w:bookmarkEnd w:id="17"/>
    <w:p>
      <w:pPr>
        <w:ind w:firstLine="480" w:firstLineChars="200"/>
        <w:jc w:val="left"/>
        <w:rPr>
          <w:rFonts w:ascii="方正仿宋_GBK" w:hAnsi="宋体" w:eastAsia="方正仿宋_GBK" w:cs="Times New Roman"/>
          <w:color w:val="auto"/>
          <w:sz w:val="24"/>
          <w:szCs w:val="24"/>
        </w:rPr>
      </w:pPr>
      <w:bookmarkStart w:id="28" w:name="_Toc31093"/>
      <w:r>
        <w:rPr>
          <w:rFonts w:hint="eastAsia" w:ascii="方正仿宋_GBK" w:hAnsi="宋体" w:eastAsia="方正仿宋_GBK" w:cs="Times New Roman"/>
          <w:color w:val="auto"/>
          <w:sz w:val="24"/>
          <w:szCs w:val="24"/>
        </w:rPr>
        <w:t>采购人：重庆医科大学附属永川医院</w:t>
      </w:r>
    </w:p>
    <w:p>
      <w:pPr>
        <w:ind w:firstLine="480" w:firstLineChars="200"/>
        <w:jc w:val="left"/>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联系人：</w:t>
      </w:r>
      <w:r>
        <w:rPr>
          <w:rFonts w:hint="eastAsia" w:ascii="方正仿宋_GBK" w:hAnsi="宋体" w:eastAsia="方正仿宋_GBK" w:cs="Times New Roman"/>
          <w:color w:val="auto"/>
          <w:sz w:val="24"/>
          <w:szCs w:val="24"/>
          <w:lang w:val="en-US" w:eastAsia="zh-CN"/>
        </w:rPr>
        <w:t>潘</w:t>
      </w:r>
      <w:r>
        <w:rPr>
          <w:rFonts w:hint="eastAsia" w:ascii="方正仿宋_GBK" w:hAnsi="宋体" w:eastAsia="方正仿宋_GBK" w:cs="Times New Roman"/>
          <w:color w:val="auto"/>
          <w:sz w:val="24"/>
          <w:szCs w:val="24"/>
        </w:rPr>
        <w:t>老师</w:t>
      </w:r>
      <w:r>
        <w:rPr>
          <w:rFonts w:hint="eastAsia" w:ascii="方正仿宋_GBK" w:hAnsi="宋体" w:eastAsia="方正仿宋_GBK" w:cs="Times New Roman"/>
          <w:color w:val="auto"/>
          <w:sz w:val="24"/>
          <w:szCs w:val="24"/>
          <w:lang w:eastAsia="zh-CN"/>
        </w:rPr>
        <w:t>、李老师</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电  话：（023）85385105  </w:t>
      </w:r>
    </w:p>
    <w:p>
      <w:pPr>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地  址： 重庆市永川区萱花路439号</w:t>
      </w:r>
    </w:p>
    <w:p>
      <w:pPr>
        <w:ind w:firstLine="720" w:firstLineChars="200"/>
        <w:jc w:val="left"/>
        <w:rPr>
          <w:rFonts w:hint="eastAsia" w:ascii="方正小标宋_GBK" w:hAnsi="宋体" w:eastAsia="方正小标宋_GBK" w:cs="Times New Roman"/>
          <w:color w:val="auto"/>
          <w:sz w:val="36"/>
          <w:szCs w:val="30"/>
        </w:rPr>
      </w:pPr>
    </w:p>
    <w:p>
      <w:pPr>
        <w:ind w:firstLine="720" w:firstLineChars="200"/>
        <w:jc w:val="left"/>
        <w:rPr>
          <w:rFonts w:hint="eastAsia" w:ascii="方正小标宋_GBK" w:hAnsi="宋体" w:eastAsia="方正小标宋_GBK" w:cs="Times New Roman"/>
          <w:color w:val="auto"/>
          <w:sz w:val="36"/>
          <w:szCs w:val="30"/>
        </w:rPr>
      </w:pPr>
    </w:p>
    <w:bookmarkEnd w:id="28"/>
    <w:p>
      <w:pPr>
        <w:rPr>
          <w:rFonts w:hint="eastAsia"/>
          <w:color w:val="auto"/>
        </w:rPr>
      </w:pPr>
    </w:p>
    <w:p>
      <w:pPr>
        <w:rPr>
          <w:rFonts w:hint="eastAsia"/>
          <w:color w:val="auto"/>
        </w:rPr>
      </w:pPr>
    </w:p>
    <w:p>
      <w:pPr>
        <w:pStyle w:val="2"/>
        <w:bidi w:val="0"/>
        <w:jc w:val="center"/>
        <w:rPr>
          <w:rFonts w:hint="eastAsia" w:ascii="微软雅黑" w:hAnsi="微软雅黑" w:eastAsia="微软雅黑" w:cs="微软雅黑"/>
          <w:b/>
          <w:bCs/>
          <w:color w:val="auto"/>
          <w:sz w:val="36"/>
          <w:szCs w:val="36"/>
        </w:rPr>
        <w:sectPr>
          <w:pgSz w:w="11907" w:h="16840"/>
          <w:pgMar w:top="1134" w:right="1191" w:bottom="1134" w:left="1304" w:header="964" w:footer="992" w:gutter="0"/>
          <w:pgNumType w:fmt="decimal"/>
          <w:cols w:space="720" w:num="1"/>
          <w:docGrid w:linePitch="312" w:charSpace="0"/>
        </w:sectPr>
      </w:pPr>
      <w:bookmarkStart w:id="29" w:name="_Toc22321"/>
    </w:p>
    <w:p>
      <w:pPr>
        <w:pStyle w:val="2"/>
        <w:bidi w:val="0"/>
        <w:jc w:val="center"/>
        <w:rPr>
          <w:rFonts w:hint="eastAsia"/>
          <w:b/>
          <w:color w:val="auto"/>
        </w:rPr>
      </w:pPr>
      <w:r>
        <w:rPr>
          <w:rFonts w:hint="eastAsia" w:ascii="微软雅黑" w:hAnsi="微软雅黑" w:eastAsia="微软雅黑" w:cs="微软雅黑"/>
          <w:b/>
          <w:bCs/>
          <w:color w:val="auto"/>
          <w:sz w:val="36"/>
          <w:szCs w:val="36"/>
        </w:rPr>
        <w:t>第二篇 供应商须知</w:t>
      </w:r>
      <w:bookmarkEnd w:id="29"/>
    </w:p>
    <w:p>
      <w:pPr>
        <w:pStyle w:val="3"/>
        <w:bidi w:val="0"/>
        <w:rPr>
          <w:rFonts w:hint="eastAsia" w:ascii="微软雅黑" w:hAnsi="微软雅黑" w:eastAsia="微软雅黑" w:cs="微软雅黑"/>
          <w:color w:val="auto"/>
          <w:sz w:val="24"/>
          <w:szCs w:val="24"/>
        </w:rPr>
      </w:pPr>
      <w:bookmarkStart w:id="30" w:name="_Toc11386"/>
      <w:r>
        <w:rPr>
          <w:rFonts w:hint="eastAsia" w:ascii="微软雅黑" w:hAnsi="微软雅黑" w:eastAsia="微软雅黑" w:cs="微软雅黑"/>
          <w:color w:val="auto"/>
          <w:sz w:val="24"/>
          <w:szCs w:val="24"/>
        </w:rPr>
        <w:t>一、比选费用</w:t>
      </w:r>
      <w:bookmarkEnd w:id="30"/>
    </w:p>
    <w:p>
      <w:pPr>
        <w:spacing w:line="400" w:lineRule="exac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参与比选的供应商应承担其编制响应文件与递交响应文件所涉及的一切费用，不论比选结果如何，</w:t>
      </w:r>
      <w:r>
        <w:rPr>
          <w:rFonts w:hint="eastAsia" w:ascii="方正仿宋_GBK" w:hAnsi="宋体" w:eastAsia="方正仿宋_GBK"/>
          <w:color w:val="auto"/>
          <w:sz w:val="24"/>
          <w:szCs w:val="24"/>
        </w:rPr>
        <w:t>医院在任何情况下无义务也无责任承担这些费用。</w:t>
      </w:r>
    </w:p>
    <w:p>
      <w:pPr>
        <w:pStyle w:val="3"/>
        <w:spacing w:line="240" w:lineRule="auto"/>
        <w:rPr>
          <w:color w:val="auto"/>
        </w:rPr>
      </w:pPr>
      <w:bookmarkStart w:id="31" w:name="_Toc8430"/>
      <w:r>
        <w:rPr>
          <w:rFonts w:hint="eastAsia" w:ascii="微软雅黑" w:hAnsi="微软雅黑" w:eastAsia="微软雅黑" w:cs="微软雅黑"/>
          <w:color w:val="auto"/>
          <w:sz w:val="24"/>
          <w:szCs w:val="24"/>
        </w:rPr>
        <w:t>二、比选文件</w:t>
      </w:r>
      <w:bookmarkEnd w:id="31"/>
      <w:r>
        <w:rPr>
          <w:color w:val="auto"/>
        </w:rPr>
        <w:tab/>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（一）比选文件由比选邀请书、供应商须知、比选项目技术需求、比选项目服务需求、合同草案条款、响应文件格式要求六部分组成。</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w:t>
      </w:r>
      <w:r>
        <w:rPr>
          <w:rFonts w:hint="eastAsia" w:ascii="方正仿宋_GBK" w:hAnsi="宋体" w:eastAsia="方正仿宋_GBK"/>
          <w:color w:val="auto"/>
          <w:sz w:val="24"/>
          <w:szCs w:val="24"/>
        </w:rPr>
        <w:t>医院</w:t>
      </w:r>
      <w:r>
        <w:rPr>
          <w:rFonts w:hint="eastAsia" w:ascii="方正仿宋_GBK" w:hAnsi="宋体" w:eastAsia="方正仿宋_GBK" w:cs="Times New Roman"/>
          <w:color w:val="auto"/>
          <w:sz w:val="24"/>
          <w:szCs w:val="24"/>
        </w:rPr>
        <w:t>所作的一切有效的修改及补充，都是比选文件不可分割的部分。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（三）比选文件的解释</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（四）本比选文件中，评审小组根据与供应商比选情况可能实质性变动的内容为比选文件第三、四、五篇全部内容。</w:t>
      </w:r>
    </w:p>
    <w:p>
      <w:pPr>
        <w:pStyle w:val="3"/>
        <w:spacing w:line="240" w:lineRule="auto"/>
        <w:rPr>
          <w:rFonts w:hint="eastAsia" w:ascii="微软雅黑" w:hAnsi="微软雅黑" w:eastAsia="微软雅黑" w:cs="微软雅黑"/>
          <w:color w:val="auto"/>
          <w:sz w:val="24"/>
          <w:szCs w:val="24"/>
        </w:rPr>
      </w:pPr>
      <w:bookmarkStart w:id="32" w:name="_Toc23254"/>
      <w:r>
        <w:rPr>
          <w:rFonts w:hint="eastAsia" w:ascii="微软雅黑" w:hAnsi="微软雅黑" w:eastAsia="微软雅黑" w:cs="微软雅黑"/>
          <w:color w:val="auto"/>
          <w:sz w:val="24"/>
          <w:szCs w:val="24"/>
        </w:rPr>
        <w:t>三、比选要求</w:t>
      </w:r>
      <w:bookmarkEnd w:id="32"/>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（一）响应文件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供应商应当按照比选文件的要求编制响应文件，并对比选文件提出的要求和条件作出实质性响应，响应文件原则上采用软面订本，同时应编制完整的页码、目录。</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1、响应文件组成</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w:t>
      </w:r>
      <w:r>
        <w:rPr>
          <w:rFonts w:hint="eastAsia" w:ascii="方正仿宋_GBK" w:hAnsi="宋体" w:eastAsia="方正仿宋_GBK"/>
          <w:color w:val="auto"/>
          <w:sz w:val="24"/>
          <w:szCs w:val="24"/>
        </w:rPr>
        <w:t>本项目不接受联合体参与及合同分包、转包。</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3、比选有效期：响应文件及有关承诺文件有效期为比选开始时间起90天。</w:t>
      </w:r>
    </w:p>
    <w:p>
      <w:pPr>
        <w:spacing w:line="400" w:lineRule="exact"/>
        <w:ind w:firstLine="482" w:firstLineChars="200"/>
        <w:rPr>
          <w:rFonts w:hint="eastAsia" w:ascii="方正仿宋_GBK" w:hAnsi="宋体" w:eastAsia="方正仿宋_GBK" w:cs="Times New Roman"/>
          <w:b/>
          <w:bCs/>
          <w:color w:val="auto"/>
          <w:sz w:val="24"/>
          <w:szCs w:val="24"/>
        </w:rPr>
      </w:pPr>
      <w:r>
        <w:rPr>
          <w:rFonts w:hint="eastAsia" w:ascii="方正仿宋_GBK" w:hAnsi="宋体" w:eastAsia="方正仿宋_GBK" w:cs="Times New Roman"/>
          <w:b/>
          <w:bCs/>
          <w:color w:val="auto"/>
          <w:sz w:val="24"/>
          <w:szCs w:val="24"/>
        </w:rPr>
        <w:t>（二）报价要求</w:t>
      </w:r>
    </w:p>
    <w:p>
      <w:pPr>
        <w:pStyle w:val="4"/>
        <w:keepNext w:val="0"/>
        <w:keepLines w:val="0"/>
        <w:spacing w:before="0" w:after="0" w:line="520" w:lineRule="exact"/>
        <w:ind w:firstLine="482"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报价要求：本次报价为包干价，包括完成本项目所需的设备费、辅材费、交通费、人工成本费、税费等各项费用。投标按照报价表进行报价（见第六章）。</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1.若供应商所递交的响应文件或最后报价中的价格出现大写金额和小写金额不一致的错误，以大写金额修正为准。</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pPr>
        <w:spacing w:line="400" w:lineRule="exact"/>
        <w:ind w:firstLine="480" w:firstLineChars="200"/>
        <w:rPr>
          <w:rFonts w:hint="default"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（四）提交响应文件的份数和签署</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1.响应文件一式</w:t>
      </w:r>
      <w:r>
        <w:rPr>
          <w:rFonts w:hint="eastAsia" w:ascii="方正仿宋_GBK" w:hAnsi="宋体" w:eastAsia="方正仿宋_GBK" w:cs="Times New Roman"/>
          <w:color w:val="auto"/>
          <w:sz w:val="24"/>
          <w:szCs w:val="24"/>
          <w:lang w:eastAsia="zh-CN"/>
        </w:rPr>
        <w:t>四</w:t>
      </w:r>
      <w:r>
        <w:rPr>
          <w:rFonts w:hint="eastAsia" w:ascii="方正仿宋_GBK" w:hAnsi="宋体" w:eastAsia="方正仿宋_GBK" w:cs="Times New Roman"/>
          <w:color w:val="auto"/>
          <w:sz w:val="24"/>
          <w:szCs w:val="24"/>
        </w:rPr>
        <w:t>份，其中正本一份，副本三份；副本可为正本的复印件，应与正本一致，如出现不一致情况以正本为准。</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2.</w:t>
      </w:r>
      <w:r>
        <w:rPr>
          <w:rFonts w:hint="eastAsia" w:ascii="方正仿宋_GBK" w:hAnsi="宋体" w:eastAsia="方正仿宋_GBK" w:cs="Times New Roman"/>
          <w:color w:val="auto"/>
          <w:sz w:val="24"/>
          <w:szCs w:val="20"/>
        </w:rPr>
        <w:t>在响应文件正本中，比选文件第六篇响应文件格式中规定签字、盖章的地方必须按其规定签字、盖章。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3.若供应商对响应文件的错处作必要修改，则应在修改处加盖供应商公章或由法定代表人或法定代表人授权代表签字确认。</w:t>
      </w:r>
    </w:p>
    <w:p>
      <w:pPr>
        <w:snapToGrid w:val="0"/>
        <w:spacing w:line="400" w:lineRule="exact"/>
        <w:ind w:firstLine="480" w:firstLineChars="200"/>
        <w:jc w:val="left"/>
        <w:rPr>
          <w:rFonts w:ascii="方正仿宋_GBK" w:hAnsi="宋体" w:eastAsia="方正仿宋_GBK" w:cs="Times New Roman"/>
          <w:strike/>
          <w:color w:val="auto"/>
          <w:sz w:val="24"/>
          <w:szCs w:val="24"/>
        </w:rPr>
      </w:pPr>
      <w:r>
        <w:rPr>
          <w:rFonts w:hint="eastAsia" w:ascii="方正仿宋_GBK" w:hAnsi="宋体" w:eastAsia="方正仿宋_GBK" w:cs="Times New Roman"/>
          <w:color w:val="auto"/>
          <w:sz w:val="24"/>
          <w:szCs w:val="24"/>
        </w:rPr>
        <w:t>4.电报、电话、传真形式的响应文件概不接受。</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（五）响应文件的递交</w:t>
      </w:r>
    </w:p>
    <w:p>
      <w:pPr>
        <w:snapToGrid w:val="0"/>
        <w:spacing w:line="400" w:lineRule="exact"/>
        <w:ind w:firstLine="480" w:firstLineChars="200"/>
        <w:rPr>
          <w:rFonts w:ascii="方正仿宋_GBK" w:hAnsi="宋体" w:eastAsia="方正仿宋_GBK" w:cs="Times New Roman"/>
          <w:color w:val="auto"/>
          <w:sz w:val="24"/>
          <w:szCs w:val="24"/>
        </w:rPr>
      </w:pPr>
      <w:bookmarkStart w:id="33" w:name="OLE_LINK3"/>
      <w:bookmarkStart w:id="34" w:name="OLE_LINK9"/>
      <w:bookmarkStart w:id="35" w:name="OLE_LINK8"/>
      <w:r>
        <w:rPr>
          <w:rFonts w:hint="eastAsia" w:ascii="方正仿宋_GBK" w:hAnsi="宋体" w:eastAsia="方正仿宋_GBK" w:cs="Times New Roman"/>
          <w:color w:val="auto"/>
          <w:sz w:val="24"/>
          <w:szCs w:val="24"/>
        </w:rPr>
        <w:t>1.响应文件的密封与标记</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2.响应文件投递截止时间：参阅比选邀请书。</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3.如果未按上述规定进行密封和标记，医院对响应文件误投、丢失或提前拆封不负责任。</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（六）响应文件语言：简体中文</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（七）供应商参与人员</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各个供应商可派1-2名代表参与比选，至少1人应为法定代表人或具有法定代表人授权委托书的授权代表。</w:t>
      </w:r>
      <w:r>
        <w:rPr>
          <w:rFonts w:hint="eastAsia" w:ascii="仿宋" w:hAnsi="仿宋" w:eastAsia="仿宋" w:cs="仿宋"/>
          <w:b/>
          <w:bCs/>
          <w:color w:val="auto"/>
          <w:sz w:val="24"/>
        </w:rPr>
        <w:t>法定代表人或授权代表应随身携带本人身份证原件。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（八）无效比选</w:t>
      </w:r>
    </w:p>
    <w:bookmarkEnd w:id="33"/>
    <w:bookmarkEnd w:id="34"/>
    <w:bookmarkEnd w:id="35"/>
    <w:p>
      <w:pPr>
        <w:snapToGrid w:val="0"/>
        <w:spacing w:line="400" w:lineRule="exact"/>
        <w:ind w:firstLine="480" w:firstLineChars="200"/>
        <w:rPr>
          <w:rFonts w:hint="eastAsia" w:ascii="方正仿宋_GBK" w:hAnsi="宋体" w:eastAsia="方正仿宋_GBK" w:cs="Times New Roman"/>
          <w:color w:val="auto"/>
          <w:sz w:val="24"/>
          <w:szCs w:val="24"/>
        </w:rPr>
      </w:pPr>
      <w:bookmarkStart w:id="36" w:name="_Toc102227319"/>
      <w:bookmarkStart w:id="37" w:name="_Toc179714298"/>
      <w:bookmarkStart w:id="38" w:name="_Toc403569780"/>
      <w:bookmarkStart w:id="39" w:name="_Toc342913393"/>
      <w:bookmarkStart w:id="40" w:name="_Toc19143"/>
      <w:bookmarkStart w:id="41" w:name="_Toc18122"/>
      <w:r>
        <w:rPr>
          <w:rFonts w:hint="eastAsia" w:ascii="方正仿宋_GBK" w:hAnsi="宋体" w:eastAsia="方正仿宋_GBK" w:cs="Times New Roman"/>
          <w:color w:val="auto"/>
          <w:sz w:val="24"/>
          <w:szCs w:val="24"/>
        </w:rPr>
        <w:t>供应商发生以下条款情况之一者，视为无效比选：</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供应商不符合规定的资格条件的；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供应商的法定代表人（或其授权代表）或自然人未参加比选的；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供应商所提交的响应文件未按比选文件要求签署或盖章的；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响应文件含有使用科室不能接受的附加条件的；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5.</w:t>
      </w:r>
      <w:r>
        <w:rPr>
          <w:rFonts w:hint="eastAsia" w:ascii="方正仿宋_GBK" w:hAnsi="宋体" w:eastAsia="方正仿宋_GBK" w:cs="Times New Roman"/>
          <w:color w:val="auto"/>
          <w:sz w:val="24"/>
          <w:szCs w:val="24"/>
        </w:rPr>
        <w:t>单位负责人为同一人或者存在直接控股、管理关系的不同供应商，参加同一合同项（包）比选的；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6.</w:t>
      </w:r>
      <w:r>
        <w:rPr>
          <w:rFonts w:hint="eastAsia" w:ascii="方正仿宋_GBK" w:hAnsi="宋体" w:eastAsia="方正仿宋_GBK" w:cs="Times New Roman"/>
          <w:color w:val="auto"/>
          <w:sz w:val="24"/>
          <w:szCs w:val="24"/>
        </w:rPr>
        <w:t>为采购项目提供整体设计、规范编制或者项目管理、监理、检测等服务的供应商再参加该采购项目的其他采购活动的；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7.</w:t>
      </w:r>
      <w:r>
        <w:rPr>
          <w:rFonts w:hint="eastAsia" w:ascii="方正仿宋_GBK" w:hAnsi="宋体" w:eastAsia="方正仿宋_GBK" w:cs="Times New Roman"/>
          <w:color w:val="auto"/>
          <w:sz w:val="24"/>
          <w:szCs w:val="24"/>
        </w:rPr>
        <w:t>同一合同项（包）下的货物，制造商参与比选，再委托代理商参与比选的；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8.</w:t>
      </w:r>
      <w:r>
        <w:rPr>
          <w:rFonts w:hint="eastAsia" w:ascii="方正仿宋_GBK" w:hAnsi="宋体" w:eastAsia="方正仿宋_GBK" w:cs="Times New Roman"/>
          <w:color w:val="auto"/>
          <w:sz w:val="24"/>
          <w:szCs w:val="24"/>
        </w:rPr>
        <w:t>供应商以联合体形式参与比选的；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供应商进行合同分包的；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10.</w:t>
      </w:r>
      <w:r>
        <w:rPr>
          <w:rFonts w:hint="eastAsia" w:ascii="方正仿宋_GBK" w:hAnsi="宋体" w:eastAsia="方正仿宋_GBK" w:cs="Times New Roman"/>
          <w:color w:val="auto"/>
          <w:sz w:val="24"/>
          <w:szCs w:val="24"/>
        </w:rPr>
        <w:t>供应商响应文件内容有与国家现行法律法规相违背的内容，或附有医院无法接受条件的。</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四、比选程序</w:t>
      </w:r>
      <w:bookmarkEnd w:id="36"/>
      <w:bookmarkEnd w:id="37"/>
      <w:bookmarkEnd w:id="38"/>
      <w:bookmarkEnd w:id="39"/>
      <w:bookmarkEnd w:id="40"/>
      <w:bookmarkEnd w:id="41"/>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（一）比选按比选文件规定的时间和地点进行。供应商须有法定代表人或其授权代表参加并签到。</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1、资格性检查。依据法律法规和竞争性比选文件的规定，评审小组对响应文件中的资格证明、保证金等进行审查，以确定供应商是否具备比选资格。资格性检查资料表如下：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检查因素</w:t>
            </w:r>
          </w:p>
        </w:tc>
        <w:tc>
          <w:tcPr>
            <w:tcW w:w="4948"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060" w:type="dxa"/>
            <w:vMerge w:val="restart"/>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响应人应符合的基本资格条件</w:t>
            </w: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（1）具有独立承担民事责任的能力</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（2）</w:t>
            </w:r>
            <w:r>
              <w:rPr>
                <w:rFonts w:hint="eastAsia" w:ascii="方正仿宋_GBK" w:hAnsi="宋体" w:eastAsia="方正仿宋_GBK" w:cs="Times New Roman"/>
                <w:color w:val="auto"/>
                <w:szCs w:val="21"/>
              </w:rPr>
              <w:t>具有良好的商业信誉和健全的财务会计制度</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1.供应商提供202</w:t>
            </w:r>
            <w:r>
              <w:rPr>
                <w:rFonts w:hint="eastAsia" w:ascii="方正仿宋_GBK" w:hAnsi="仿宋" w:eastAsia="方正仿宋_GBK" w:cs="Times New Roman"/>
                <w:color w:val="auto"/>
                <w:szCs w:val="21"/>
                <w:lang w:val="en-US" w:eastAsia="zh-CN"/>
              </w:rPr>
              <w:t>1</w:t>
            </w:r>
            <w:r>
              <w:rPr>
                <w:rFonts w:hint="eastAsia" w:ascii="方正仿宋_GBK" w:hAnsi="仿宋" w:eastAsia="方正仿宋_GBK" w:cs="Times New Roman"/>
                <w:color w:val="auto"/>
                <w:szCs w:val="21"/>
              </w:rPr>
              <w:t>或202</w:t>
            </w:r>
            <w:r>
              <w:rPr>
                <w:rFonts w:hint="eastAsia" w:ascii="方正仿宋_GBK" w:hAnsi="仿宋" w:eastAsia="方正仿宋_GBK" w:cs="Times New Roman"/>
                <w:color w:val="auto"/>
                <w:szCs w:val="21"/>
                <w:lang w:val="en-US" w:eastAsia="zh-CN"/>
              </w:rPr>
              <w:t>2</w:t>
            </w:r>
            <w:r>
              <w:rPr>
                <w:rFonts w:hint="eastAsia" w:ascii="方正仿宋_GBK" w:hAnsi="仿宋" w:eastAsia="方正仿宋_GBK" w:cs="Times New Roman"/>
                <w:color w:val="auto"/>
                <w:szCs w:val="21"/>
              </w:rPr>
              <w:t>年度财务状况报告（表）或其基本开户银行出具的资信证明（提供复印件）。</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（3）具有履行合同所必需的设备和专业技术能力</w:t>
            </w:r>
          </w:p>
        </w:tc>
        <w:tc>
          <w:tcPr>
            <w:tcW w:w="4948"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（4）有依法缴纳税收和社会保障金的良好记录</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1.税务登记证（副本）（提供复印件）。</w:t>
            </w:r>
          </w:p>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2.缴纳社会保障金的证明材料（提供复印件）【缴纳社会保障金的证明材料指：社会保险登记证或缴纳社会保险的凭据（专用收据或社会保险缴纳清单）】。</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（5）参加采购活动前三年内，在经营活动中没有重大违法记录（注</w:t>
            </w:r>
            <w:r>
              <w:rPr>
                <w:rFonts w:ascii="Calibri" w:hAnsi="Calibri" w:eastAsia="方正仿宋_GBK" w:cs="Calibri"/>
                <w:color w:val="auto"/>
                <w:szCs w:val="21"/>
              </w:rPr>
              <w:t>①</w:t>
            </w:r>
            <w:r>
              <w:rPr>
                <w:rFonts w:hint="eastAsia" w:ascii="方正仿宋_GBK" w:hAnsi="宋体" w:eastAsia="方正仿宋_GBK" w:cs="Times New Roman"/>
                <w:color w:val="auto"/>
                <w:szCs w:val="21"/>
              </w:rPr>
              <w:t>）</w:t>
            </w:r>
          </w:p>
        </w:tc>
        <w:tc>
          <w:tcPr>
            <w:tcW w:w="4948" w:type="dxa"/>
            <w:vAlign w:val="center"/>
          </w:tcPr>
          <w:p>
            <w:pPr>
              <w:snapToGrid w:val="0"/>
              <w:spacing w:line="400" w:lineRule="exact"/>
              <w:rPr>
                <w:rFonts w:ascii="方正仿宋_GBK" w:hAnsi="仿宋" w:eastAsia="方正仿宋_GBK" w:cs="Times New Roman"/>
                <w:color w:val="auto"/>
                <w:szCs w:val="21"/>
              </w:rPr>
            </w:pPr>
            <w:r>
              <w:rPr>
                <w:rFonts w:hint="eastAsia" w:ascii="仿宋" w:hAnsi="仿宋" w:eastAsia="仿宋" w:cs="仿宋"/>
                <w:color w:val="auto"/>
                <w:szCs w:val="21"/>
              </w:rPr>
              <w:t>1</w:t>
            </w:r>
            <w:r>
              <w:rPr>
                <w:rFonts w:hint="eastAsia" w:ascii="方正仿宋_GBK" w:hAnsi="仿宋" w:eastAsia="方正仿宋_GBK" w:cs="Times New Roman"/>
                <w:color w:val="auto"/>
                <w:szCs w:val="21"/>
              </w:rPr>
              <w:t>.供应商提供书面声明（见格式文件）</w:t>
            </w:r>
          </w:p>
          <w:p>
            <w:pPr>
              <w:snapToGrid w:val="0"/>
              <w:spacing w:line="400" w:lineRule="exact"/>
              <w:rPr>
                <w:rFonts w:ascii="方正仿宋_GBK" w:hAnsi="宋体" w:eastAsia="方正仿宋_GBK" w:cs="Times New Roman"/>
                <w:color w:val="auto"/>
                <w:szCs w:val="21"/>
              </w:rPr>
            </w:pPr>
            <w:r>
              <w:rPr>
                <w:rFonts w:hint="eastAsia" w:ascii="仿宋" w:hAnsi="仿宋" w:eastAsia="仿宋" w:cs="仿宋"/>
                <w:color w:val="auto"/>
                <w:szCs w:val="21"/>
              </w:rPr>
              <w:t>2.</w:t>
            </w:r>
            <w:r>
              <w:rPr>
                <w:rFonts w:hint="eastAsia" w:ascii="方正仿宋_GBK" w:hAnsi="仿宋" w:eastAsia="方正仿宋_GBK" w:cs="Times New Roman"/>
                <w:b/>
                <w:color w:val="auto"/>
                <w:szCs w:val="21"/>
              </w:rPr>
              <w:t>供应商提供 “信用中国”网站(www.creditchina.gov.cn)、"中国政府采购网"(www.ccgp.gov.cn)等渠道查询供应商信用记录（注</w:t>
            </w:r>
            <w:r>
              <w:rPr>
                <w:rFonts w:ascii="Calibri" w:hAnsi="Calibri" w:eastAsia="方正仿宋_GBK" w:cs="Calibri"/>
                <w:b/>
                <w:color w:val="auto"/>
                <w:szCs w:val="21"/>
              </w:rPr>
              <w:t>②</w:t>
            </w:r>
            <w:r>
              <w:rPr>
                <w:rFonts w:hint="eastAsia" w:ascii="方正仿宋_GBK" w:hAnsi="仿宋" w:eastAsia="方正仿宋_GBK" w:cs="Times New Roman"/>
                <w:b/>
                <w:color w:val="auto"/>
                <w:szCs w:val="21"/>
              </w:rPr>
              <w:t>）。对列入失信被执行人、重大税收违法案件当事人名单、政府采购严重违法失信行为记录名单的供应商将拒绝其参与医院采购活动。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（6）法律、行政法规规定的其他条件</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特定资格条件</w:t>
            </w:r>
          </w:p>
        </w:tc>
        <w:tc>
          <w:tcPr>
            <w:tcW w:w="4948"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按“第一篇三、</w:t>
            </w:r>
            <w:r>
              <w:rPr>
                <w:rFonts w:hint="eastAsia" w:ascii="方正仿宋_GBK" w:hAnsi="宋体" w:eastAsia="方正仿宋_GBK" w:cs="Times New Roman"/>
                <w:color w:val="auto"/>
                <w:sz w:val="24"/>
                <w:szCs w:val="24"/>
              </w:rPr>
              <w:t>供应商资格</w:t>
            </w:r>
            <w:r>
              <w:rPr>
                <w:rFonts w:hint="eastAsia" w:ascii="仿宋" w:hAnsi="仿宋" w:eastAsia="仿宋" w:cs="仿宋"/>
                <w:color w:val="auto"/>
                <w:sz w:val="24"/>
                <w:szCs w:val="24"/>
              </w:rPr>
              <w:t>要求</w:t>
            </w:r>
            <w:r>
              <w:rPr>
                <w:rFonts w:hint="eastAsia" w:ascii="方正仿宋_GBK" w:hAnsi="仿宋" w:eastAsia="方正仿宋_GBK" w:cs="Times New Roman"/>
                <w:color w:val="auto"/>
                <w:szCs w:val="21"/>
              </w:rPr>
              <w:t>（二）</w:t>
            </w:r>
            <w:r>
              <w:rPr>
                <w:rFonts w:hint="eastAsia" w:ascii="方正仿宋_GBK" w:hAnsi="宋体" w:eastAsia="方正仿宋_GBK" w:cs="Times New Roman"/>
                <w:color w:val="auto"/>
                <w:sz w:val="24"/>
                <w:szCs w:val="24"/>
              </w:rPr>
              <w:t>特定资格要求</w:t>
            </w:r>
            <w:r>
              <w:rPr>
                <w:rFonts w:hint="eastAsia" w:ascii="方正仿宋_GBK" w:hAnsi="仿宋" w:eastAsia="方正仿宋_GBK" w:cs="Times New Roman"/>
                <w:color w:val="auto"/>
                <w:szCs w:val="21"/>
              </w:rPr>
              <w:t>的要求提交</w:t>
            </w:r>
            <w:r>
              <w:rPr>
                <w:rFonts w:hint="eastAsia" w:ascii="方正仿宋_GBK" w:hAnsi="宋体" w:eastAsia="方正仿宋_GBK" w:cs="Times New Roman"/>
                <w:color w:val="auto"/>
                <w:szCs w:val="21"/>
              </w:rPr>
              <w:t>（如果有）</w:t>
            </w:r>
            <w:r>
              <w:rPr>
                <w:rFonts w:hint="eastAsia" w:ascii="方正仿宋_GBK" w:hAnsi="仿宋" w:eastAsia="方正仿宋_GBK" w:cs="Times New Roman"/>
                <w:color w:val="auto"/>
                <w:szCs w:val="21"/>
              </w:rPr>
              <w:t>。</w:t>
            </w:r>
          </w:p>
        </w:tc>
      </w:tr>
    </w:tbl>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供应商按“多证合一”登记制度办理营业执照的，税务登记证（副本）和社会保险登记证以供应商所提供的营业执照（副本）复印件为准。</w:t>
      </w:r>
    </w:p>
    <w:p>
      <w:pPr>
        <w:spacing w:line="390" w:lineRule="exact"/>
        <w:ind w:firstLine="480" w:firstLineChars="200"/>
        <w:rPr>
          <w:rFonts w:ascii="方正仿宋_GBK" w:hAnsi="宋体" w:eastAsia="方正仿宋_GBK" w:cs="Times New Roman"/>
          <w:color w:val="auto"/>
          <w:sz w:val="24"/>
          <w:szCs w:val="24"/>
        </w:rPr>
      </w:pPr>
      <w:r>
        <w:rPr>
          <w:rFonts w:ascii="Calibri" w:hAnsi="Calibri" w:eastAsia="方正仿宋_GBK" w:cs="Calibri"/>
          <w:color w:val="auto"/>
          <w:sz w:val="24"/>
          <w:szCs w:val="24"/>
        </w:rPr>
        <w:t>①</w:t>
      </w:r>
      <w:r>
        <w:rPr>
          <w:rFonts w:hint="eastAsia" w:ascii="方正仿宋_GBK" w:hAnsi="宋体" w:eastAsia="方正仿宋_GBK" w:cs="Times New Roman"/>
          <w:color w:val="auto"/>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pPr>
        <w:spacing w:line="390" w:lineRule="exact"/>
        <w:ind w:firstLine="480" w:firstLineChars="200"/>
        <w:rPr>
          <w:rFonts w:ascii="方正仿宋_GBK" w:hAnsi="宋体" w:eastAsia="方正仿宋_GBK" w:cs="Times New Roman"/>
          <w:color w:val="auto"/>
          <w:sz w:val="24"/>
          <w:szCs w:val="24"/>
        </w:rPr>
      </w:pPr>
      <w:r>
        <w:rPr>
          <w:rFonts w:ascii="方正仿宋_GBK" w:hAnsi="宋体" w:eastAsia="方正仿宋_GBK" w:cs="Times New Roman"/>
          <w:color w:val="auto"/>
          <w:sz w:val="24"/>
          <w:szCs w:val="24"/>
        </w:rPr>
        <w:t>②</w:t>
      </w:r>
      <w:r>
        <w:rPr>
          <w:rFonts w:hint="eastAsia" w:ascii="方正仿宋_GBK" w:hAnsi="宋体" w:eastAsia="方正仿宋_GBK" w:cs="Times New Roman"/>
          <w:color w:val="auto"/>
          <w:sz w:val="24"/>
          <w:szCs w:val="24"/>
        </w:rPr>
        <w:t>供应商应提供四张截图（截图模板见第七篇后模板）。</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2、符合性审查。依据比选文件的规定，评审小组从响应文件的有效性、完整性和对比选文件的响应程度进行审查，以确定是否对比选文件的实质性要求作出响应。符合性检查资料表如下： </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441"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评审因素</w:t>
            </w:r>
          </w:p>
        </w:tc>
        <w:tc>
          <w:tcPr>
            <w:tcW w:w="5409"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457" w:type="dxa"/>
            <w:vMerge w:val="restart"/>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有效性审查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响应文件签署</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w:t>
            </w:r>
          </w:p>
        </w:tc>
        <w:tc>
          <w:tcPr>
            <w:tcW w:w="5409"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法定代表人身份证明及授权委托书有效，符合比选文件规定的格式，签署或盖章齐全。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响应方案</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报价唯一</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只能在预算金额和最高限价内报价，</w:t>
            </w:r>
            <w:r>
              <w:rPr>
                <w:rFonts w:hint="eastAsia" w:ascii="方正仿宋_GBK" w:hAnsi="宋体" w:eastAsia="方正仿宋_GBK" w:cs="Times New Roman"/>
                <w:color w:val="auto"/>
                <w:szCs w:val="21"/>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完整性审查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响应文件份数</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响应文件正、副本数量符合比选文件要求。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3</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服务部分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本采购文件第三篇中（※）号标注的部分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4</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商务部分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本采购文件第四篇中（※）号标注的部分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5</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响应有效期</w:t>
            </w: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有效期为响应截止日期后90天内</w:t>
            </w:r>
          </w:p>
        </w:tc>
      </w:tr>
    </w:tbl>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（五）在比选过程中比选的任何一方不得向他人透露与比选有关的技术资料、价格或其他信息。</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（七）供应商在比选时作出的所有书面承诺须由法定代表人或其授权代表签字。</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（八）、比选结束后，评审小组要求所有参加正式比选的供应商在规定时间内同时书面提交最后报价及有关承诺（填写《最后报价表》）。</w:t>
      </w:r>
      <w:r>
        <w:rPr>
          <w:rFonts w:ascii="方正仿宋_GBK" w:hAnsi="宋体" w:eastAsia="方正仿宋_GBK" w:cs="Times New Roman"/>
          <w:color w:val="auto"/>
          <w:sz w:val="24"/>
          <w:szCs w:val="24"/>
        </w:rPr>
        <w:t>已提交响应文件</w:t>
      </w:r>
      <w:r>
        <w:rPr>
          <w:rFonts w:hint="eastAsia" w:ascii="方正仿宋_GBK" w:hAnsi="宋体" w:eastAsia="方正仿宋_GBK" w:cs="Times New Roman"/>
          <w:color w:val="auto"/>
          <w:sz w:val="24"/>
          <w:szCs w:val="24"/>
        </w:rPr>
        <w:t>但未在规定时间内进行最后报价</w:t>
      </w:r>
      <w:r>
        <w:rPr>
          <w:rFonts w:ascii="方正仿宋_GBK" w:hAnsi="宋体" w:eastAsia="方正仿宋_GBK" w:cs="Times New Roman"/>
          <w:color w:val="auto"/>
          <w:sz w:val="24"/>
          <w:szCs w:val="24"/>
        </w:rPr>
        <w:t>的供应商，</w:t>
      </w:r>
      <w:r>
        <w:rPr>
          <w:rFonts w:hint="eastAsia" w:ascii="方正仿宋_GBK" w:hAnsi="宋体" w:eastAsia="方正仿宋_GBK" w:cs="Times New Roman"/>
          <w:color w:val="auto"/>
          <w:sz w:val="24"/>
          <w:szCs w:val="24"/>
        </w:rPr>
        <w:t>视为放弃最后报价，以供应商响应文件中的报价为准。</w:t>
      </w:r>
    </w:p>
    <w:p>
      <w:pPr>
        <w:pStyle w:val="3"/>
        <w:spacing w:line="240" w:lineRule="auto"/>
        <w:rPr>
          <w:rFonts w:hint="eastAsia" w:ascii="微软雅黑" w:hAnsi="微软雅黑" w:eastAsia="微软雅黑" w:cs="微软雅黑"/>
          <w:color w:val="auto"/>
          <w:sz w:val="24"/>
          <w:szCs w:val="24"/>
        </w:rPr>
      </w:pPr>
      <w:bookmarkStart w:id="42" w:name="_Toc403569781"/>
      <w:bookmarkStart w:id="43" w:name="_Toc28776"/>
      <w:bookmarkStart w:id="44" w:name="_Toc14247"/>
      <w:bookmarkStart w:id="45" w:name="_Toc102227320"/>
      <w:bookmarkStart w:id="46" w:name="_Toc342913394"/>
      <w:r>
        <w:rPr>
          <w:rFonts w:hint="eastAsia" w:ascii="微软雅黑" w:hAnsi="微软雅黑" w:eastAsia="微软雅黑" w:cs="微软雅黑"/>
          <w:color w:val="auto"/>
          <w:sz w:val="24"/>
          <w:szCs w:val="24"/>
        </w:rPr>
        <w:t>五、评审依据</w:t>
      </w:r>
      <w:bookmarkEnd w:id="42"/>
      <w:bookmarkEnd w:id="43"/>
      <w:bookmarkEnd w:id="44"/>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评审的依据为比选文件和响应文件（含有效的补充文件）。评审小组判断响应文件对比选文件的响应，仅基于响应文件本身而不靠外部证据。</w:t>
      </w:r>
    </w:p>
    <w:p>
      <w:pPr>
        <w:pStyle w:val="3"/>
        <w:spacing w:line="240" w:lineRule="auto"/>
        <w:rPr>
          <w:rFonts w:hint="eastAsia" w:ascii="微软雅黑" w:hAnsi="微软雅黑" w:eastAsia="微软雅黑" w:cs="微软雅黑"/>
          <w:color w:val="auto"/>
          <w:sz w:val="24"/>
          <w:szCs w:val="24"/>
        </w:rPr>
      </w:pPr>
      <w:bookmarkStart w:id="47" w:name="_Toc403569782"/>
      <w:bookmarkStart w:id="48" w:name="_Toc14816"/>
      <w:bookmarkStart w:id="49" w:name="_Toc29340"/>
      <w:r>
        <w:rPr>
          <w:rFonts w:hint="eastAsia" w:ascii="微软雅黑" w:hAnsi="微软雅黑" w:eastAsia="微软雅黑" w:cs="微软雅黑"/>
          <w:color w:val="auto"/>
          <w:sz w:val="24"/>
          <w:szCs w:val="24"/>
        </w:rPr>
        <w:t>六、成交</w:t>
      </w:r>
      <w:bookmarkEnd w:id="45"/>
      <w:r>
        <w:rPr>
          <w:rFonts w:hint="eastAsia" w:ascii="微软雅黑" w:hAnsi="微软雅黑" w:eastAsia="微软雅黑" w:cs="微软雅黑"/>
          <w:color w:val="auto"/>
          <w:sz w:val="24"/>
          <w:szCs w:val="24"/>
        </w:rPr>
        <w:t>原则</w:t>
      </w:r>
      <w:bookmarkEnd w:id="46"/>
      <w:bookmarkEnd w:id="47"/>
      <w:bookmarkEnd w:id="48"/>
      <w:bookmarkEnd w:id="49"/>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（一）评审办法</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1.评审小组将依照本比选文件相关规定对质量和服务均能满足比选实质性响应要求的供应商所提交的最后报价由低到高的顺序提出成交候选人，并编写评审报告。</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2.若供应商的最后报价经扣减后价格相同，按技术参数（条款）的优劣顺序排列；以上都相同的，按服务条款的优劣顺序排列。</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3.成交价格=成交供应商的最后报价</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（二）评审细则：</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资格符合性检查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依据法律法规和比选文件的规定，对供应商的资格证明等进行审查，以确定供应商是否具备比选资格。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2.对响应文件的有效性、完整性和响应程度检查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依据比选文件的规定，对供应商的响应文件从技术、服务等方面进行审查，以确定供应商是否实质性响应比选文件的要求。</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3.若同一</w:t>
      </w:r>
      <w:r>
        <w:rPr>
          <w:rFonts w:ascii="方正仿宋_GBK" w:hAnsi="宋体" w:eastAsia="方正仿宋_GBK" w:cs="Times New Roman"/>
          <w:color w:val="auto"/>
          <w:sz w:val="24"/>
          <w:szCs w:val="24"/>
        </w:rPr>
        <w:t>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w:t>
      </w:r>
      <w:r>
        <w:rPr>
          <w:rFonts w:hint="eastAsia" w:ascii="方正仿宋_GBK" w:hAnsi="宋体" w:eastAsia="方正仿宋_GBK" w:cs="Times New Roman"/>
          <w:color w:val="auto"/>
          <w:sz w:val="24"/>
          <w:szCs w:val="24"/>
        </w:rPr>
        <w:t>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采购比选中，同一品牌同一型号产品有多家供应商参加投标，只能按照一家供应商计算。评审中在其他条件（资格性检查、符合性检查）合格的前提下，选取最终报价最低的供应商进入评审，舍掉其他供应商。</w:t>
      </w:r>
    </w:p>
    <w:p>
      <w:pPr>
        <w:snapToGrid w:val="0"/>
        <w:spacing w:line="390" w:lineRule="exact"/>
        <w:ind w:firstLine="482" w:firstLineChars="200"/>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4.成交供应商的确定：</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“第三篇 项目服务需求”有一条及以上不能满足比选文件要求的供应商将失去成为成交供应商的资格；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 “第四篇 项目商务需求”有一条及以上不能满足比选文件要求的供应商将失去成为成交供应商的资格。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（4）评审小组将依照评审办法提出成交候选人。</w:t>
      </w:r>
    </w:p>
    <w:p>
      <w:pPr>
        <w:snapToGrid w:val="0"/>
        <w:spacing w:line="390" w:lineRule="exact"/>
        <w:ind w:firstLine="402" w:firstLineChars="167"/>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5.成交供应商的变更</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（1）成交供应商拒绝签订采购合同的，医院可以按照评审报告推荐的成交候选人顺序，确定排名下一位的候选人为成交供应商，也可以重新开展采购活动。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（2）拒绝签订采购合同的成交供应商不得参加对该项目重新开展的采购活动，列入黑名单，3年内不能参加医院的采购活动。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w:t>
      </w:r>
      <w:r>
        <w:rPr>
          <w:rFonts w:hint="eastAsia" w:ascii="方正仿宋_GBK" w:hAnsi="宋体" w:eastAsia="方正仿宋_GBK"/>
          <w:b/>
          <w:color w:val="auto"/>
          <w:sz w:val="24"/>
          <w:szCs w:val="24"/>
        </w:rPr>
        <w:t xml:space="preserve"> 采购终止</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出现下列情形之一的，采购人或者采购代理机构应当终止比选采购活动，发布项目终止公告并说明原因，重新开展采购活动：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（1）因情况变化，不再符合规定的比选采购方式适用情形的；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（2）</w:t>
      </w:r>
      <w:r>
        <w:rPr>
          <w:rFonts w:hint="eastAsia" w:ascii="方正仿宋_GBK" w:hAnsi="宋体" w:eastAsia="方正仿宋_GBK" w:cs="Times New Roman"/>
          <w:color w:val="auto"/>
          <w:sz w:val="24"/>
          <w:szCs w:val="24"/>
        </w:rPr>
        <w:t>出现影响采购公正的违法、违规行为的；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（3）</w:t>
      </w:r>
      <w:r>
        <w:rPr>
          <w:rFonts w:hint="eastAsia" w:ascii="方正仿宋_GBK" w:hAnsi="宋体" w:eastAsia="方正仿宋_GBK" w:cs="Times New Roman"/>
          <w:color w:val="auto"/>
          <w:sz w:val="24"/>
          <w:szCs w:val="24"/>
        </w:rPr>
        <w:t>在采购过程中符合竞争要求的供应商不足3家的，</w:t>
      </w:r>
      <w:r>
        <w:rPr>
          <w:rFonts w:hint="eastAsia" w:ascii="方正仿宋_GBK" w:hAnsi="宋体" w:eastAsia="方正仿宋_GBK"/>
          <w:color w:val="auto"/>
          <w:sz w:val="24"/>
          <w:szCs w:val="24"/>
        </w:rPr>
        <w:t>但《医院采购管理办法（试行）》第二十</w:t>
      </w:r>
      <w:r>
        <w:rPr>
          <w:rFonts w:hint="eastAsia" w:ascii="方正仿宋_GBK" w:hAnsi="宋体" w:eastAsia="方正仿宋_GBK"/>
          <w:color w:val="auto"/>
          <w:sz w:val="24"/>
          <w:szCs w:val="24"/>
          <w:lang w:eastAsia="zh-CN"/>
        </w:rPr>
        <w:t>八</w:t>
      </w:r>
      <w:r>
        <w:rPr>
          <w:rFonts w:hint="eastAsia" w:ascii="方正仿宋_GBK" w:hAnsi="宋体" w:eastAsia="方正仿宋_GBK"/>
          <w:color w:val="auto"/>
          <w:sz w:val="24"/>
          <w:szCs w:val="24"/>
        </w:rPr>
        <w:t>条第一款（五）规定的情形除外。</w:t>
      </w:r>
    </w:p>
    <w:p>
      <w:pPr>
        <w:pStyle w:val="3"/>
        <w:spacing w:line="240" w:lineRule="auto"/>
        <w:rPr>
          <w:rFonts w:hint="eastAsia" w:ascii="微软雅黑" w:hAnsi="微软雅黑" w:eastAsia="微软雅黑" w:cs="微软雅黑"/>
          <w:color w:val="auto"/>
          <w:sz w:val="24"/>
          <w:szCs w:val="24"/>
        </w:rPr>
      </w:pPr>
      <w:bookmarkStart w:id="50" w:name="_Toc7135"/>
      <w:bookmarkStart w:id="51" w:name="_Toc403569783"/>
      <w:bookmarkStart w:id="52" w:name="_Toc102227321"/>
      <w:bookmarkStart w:id="53" w:name="_Toc342913395"/>
      <w:bookmarkStart w:id="54" w:name="_Toc3212"/>
      <w:r>
        <w:rPr>
          <w:rFonts w:hint="eastAsia" w:ascii="微软雅黑" w:hAnsi="微软雅黑" w:eastAsia="微软雅黑" w:cs="微软雅黑"/>
          <w:color w:val="auto"/>
          <w:sz w:val="24"/>
          <w:szCs w:val="24"/>
        </w:rPr>
        <w:t>七、成交通知</w:t>
      </w:r>
      <w:bookmarkEnd w:id="50"/>
      <w:bookmarkEnd w:id="51"/>
      <w:bookmarkEnd w:id="52"/>
      <w:bookmarkEnd w:id="53"/>
      <w:bookmarkEnd w:id="54"/>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1.成交供应商确定后，医院将在重庆医科大学附属永川医院官网发布成交结果公告，并仅对成交者发出电话通知。</w:t>
      </w:r>
    </w:p>
    <w:p>
      <w:pPr>
        <w:keepNext/>
        <w:keepLines/>
        <w:spacing w:line="390" w:lineRule="exact"/>
        <w:ind w:firstLine="360" w:firstLineChars="150"/>
        <w:outlineLvl w:val="2"/>
        <w:rPr>
          <w:rFonts w:ascii="方正仿宋_GBK" w:hAnsi="Times New Roman" w:eastAsia="方正仿宋_GBK" w:cs="Times New Roman"/>
          <w:color w:val="auto"/>
          <w:sz w:val="24"/>
          <w:szCs w:val="24"/>
        </w:rPr>
      </w:pPr>
      <w:r>
        <w:rPr>
          <w:rFonts w:hint="eastAsia" w:ascii="方正仿宋_GBK" w:hAnsi="Times New Roman" w:eastAsia="方正仿宋_GBK" w:cs="Times New Roman"/>
          <w:color w:val="auto"/>
          <w:sz w:val="24"/>
          <w:szCs w:val="24"/>
        </w:rPr>
        <w:t>2.接到采购结果通知后30天内必须来医院完善合同相关手续，逾期视为自动放弃供应商资格。</w:t>
      </w:r>
    </w:p>
    <w:p>
      <w:pPr>
        <w:pStyle w:val="3"/>
        <w:spacing w:line="240" w:lineRule="auto"/>
        <w:rPr>
          <w:rFonts w:hint="eastAsia" w:ascii="微软雅黑" w:hAnsi="微软雅黑" w:eastAsia="微软雅黑" w:cs="微软雅黑"/>
          <w:color w:val="auto"/>
          <w:sz w:val="24"/>
          <w:szCs w:val="24"/>
        </w:rPr>
      </w:pPr>
      <w:bookmarkStart w:id="55" w:name="_Toc17413"/>
      <w:bookmarkStart w:id="56" w:name="_Toc403569784"/>
      <w:bookmarkStart w:id="57" w:name="_Toc12880"/>
      <w:r>
        <w:rPr>
          <w:rFonts w:hint="eastAsia" w:ascii="微软雅黑" w:hAnsi="微软雅黑" w:eastAsia="微软雅黑" w:cs="微软雅黑"/>
          <w:color w:val="auto"/>
          <w:sz w:val="24"/>
          <w:szCs w:val="24"/>
        </w:rPr>
        <w:t>八、关于质疑和投诉</w:t>
      </w:r>
      <w:bookmarkEnd w:id="55"/>
      <w:bookmarkEnd w:id="56"/>
      <w:bookmarkEnd w:id="57"/>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供应商认为比选文件、采购过程和成交结果使自己的权益收到伤害的，可向采购人或采购代理机构以书面形式提出质疑。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提出质疑的应当是参与所质疑项目采购活动的供应商。 </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1、质疑时限、内容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（1）供应商认为比选文件、采购过程、成交结果使自己的权益受到损害的，可以在知道或者应知其权益受到损害之日起7个工作日内，以书面形式向采购人、采购代理机构提出质疑。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（2）供应商提出质疑应当提交质疑函和必要的证明材料，质疑函应当包括下列内容：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①供应商的姓名或者名称、地址、邮编、联系人及联系电话；</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②质疑项目的名称、项目编号；</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③具体、明确的质疑事项和与质疑事项相关的请求；</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④事实依据；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⑤必要的法律依据；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⑥提出质疑的日期；</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⑦营业执照（或事业单位法人证书，或个体工商户营业执照或有效的自然人身份证明、组织机构代码证）复印件；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⑧法定代表人授权委托书原件、法定代表人身份证复印件和其授权代表的身份证复印件（供应商为自然人的提供自然人身份证复印件）；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（3）供应商为自然人的，质疑函应当由本人签字；供应商为法人或者其他组织的，质疑函应当由法定代表人、主要负责人，或者其授权代表签字或者盖章，并加盖公章。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2、质疑答复</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采购人、采购代理机构应当在收到供应商的书面质疑后七个工作日内作出答复，并以书面形式通知质疑供应商和其他有关供应商。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3、其他</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（1）供应商应按照《政府采购质疑和投诉办法》（财政部令第94号）及相关法律法规要求，在法定质疑期内一次性提出针对同一采购程序环节的质疑。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（2）质疑函范本可在财政部门户网站和中国政府采购网下载。</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（三）投诉</w:t>
      </w:r>
    </w:p>
    <w:p>
      <w:pPr>
        <w:snapToGrid w:val="0"/>
        <w:spacing w:line="400" w:lineRule="exact"/>
        <w:ind w:firstLine="480" w:firstLineChars="200"/>
        <w:jc w:val="left"/>
        <w:rPr>
          <w:rFonts w:ascii="方正仿宋_GBK" w:hAnsi="宋体" w:eastAsia="方正仿宋_GBK" w:cs="Times New Roman"/>
          <w:color w:val="auto"/>
          <w:sz w:val="24"/>
          <w:szCs w:val="24"/>
        </w:rPr>
      </w:pPr>
      <w:bookmarkStart w:id="58" w:name="_Toc102227322"/>
      <w:bookmarkStart w:id="59" w:name="_Toc403569785"/>
      <w:bookmarkStart w:id="60" w:name="_Toc6381"/>
      <w:bookmarkStart w:id="61" w:name="_Toc342913396"/>
      <w:r>
        <w:rPr>
          <w:rFonts w:hint="eastAsia" w:ascii="方正仿宋_GBK" w:hAnsi="宋体" w:eastAsia="方正仿宋_GBK" w:cs="Times New Roman"/>
          <w:color w:val="auto"/>
          <w:sz w:val="24"/>
          <w:szCs w:val="24"/>
        </w:rPr>
        <w:t>供应商对医院的答复不满意，或者医院未在规定时间内答复的，可在答复期满后15个工作日内按有关规定，向院纪检部门投诉。</w:t>
      </w:r>
    </w:p>
    <w:p>
      <w:pPr>
        <w:pStyle w:val="3"/>
        <w:spacing w:line="240" w:lineRule="auto"/>
        <w:rPr>
          <w:rFonts w:hint="eastAsia" w:ascii="微软雅黑" w:hAnsi="微软雅黑" w:eastAsia="微软雅黑" w:cs="微软雅黑"/>
          <w:color w:val="auto"/>
          <w:sz w:val="24"/>
          <w:szCs w:val="24"/>
        </w:rPr>
      </w:pPr>
      <w:bookmarkStart w:id="62" w:name="_Toc5728"/>
      <w:r>
        <w:rPr>
          <w:rFonts w:hint="eastAsia" w:ascii="微软雅黑" w:hAnsi="微软雅黑" w:eastAsia="微软雅黑" w:cs="微软雅黑"/>
          <w:color w:val="auto"/>
          <w:sz w:val="24"/>
          <w:szCs w:val="24"/>
        </w:rPr>
        <w:t>九、签订</w:t>
      </w:r>
      <w:bookmarkEnd w:id="58"/>
      <w:r>
        <w:rPr>
          <w:rFonts w:hint="eastAsia" w:ascii="微软雅黑" w:hAnsi="微软雅黑" w:eastAsia="微软雅黑" w:cs="微软雅黑"/>
          <w:color w:val="auto"/>
          <w:sz w:val="24"/>
          <w:szCs w:val="24"/>
        </w:rPr>
        <w:t>合同</w:t>
      </w:r>
      <w:bookmarkEnd w:id="59"/>
      <w:bookmarkEnd w:id="60"/>
      <w:bookmarkEnd w:id="61"/>
      <w:bookmarkEnd w:id="62"/>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2、采购文件、成交供应商的响应文件及有效承诺文件等，均为签订合同的依据。</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3、如成交供应商放弃成交项目或在签订合同时擅自改变成交状态的，采购人将按照相关法律法规处理。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4、医院要求成交供应商提供履约保证金的，应当在比选文件中予以约定。成交供应商履约完毕后，医院根据采购文件规定无息退还其履约保证金。</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5、除不可抗力等因素外，成交通知书发出后，采购人改变成交结果，或者成交供应商拒绝签订政府采购合同的，应当承担相应的法律责任。</w:t>
      </w: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pStyle w:val="2"/>
        <w:jc w:val="both"/>
        <w:rPr>
          <w:rFonts w:hint="eastAsia" w:ascii="微软雅黑" w:hAnsi="微软雅黑" w:eastAsia="微软雅黑" w:cs="微软雅黑"/>
          <w:b/>
          <w:color w:val="auto"/>
          <w:sz w:val="36"/>
          <w:szCs w:val="36"/>
        </w:rPr>
        <w:sectPr>
          <w:pgSz w:w="11907" w:h="16840"/>
          <w:pgMar w:top="1134" w:right="1191" w:bottom="1134" w:left="1304" w:header="964" w:footer="992" w:gutter="0"/>
          <w:pgNumType w:fmt="decimal"/>
          <w:cols w:space="720" w:num="1"/>
          <w:docGrid w:linePitch="312" w:charSpace="0"/>
        </w:sectPr>
      </w:pPr>
      <w:bookmarkStart w:id="63" w:name="_Toc11770"/>
      <w:bookmarkStart w:id="64" w:name="_Toc485108784"/>
    </w:p>
    <w:p>
      <w:pPr>
        <w:pStyle w:val="2"/>
        <w:jc w:val="center"/>
        <w:rPr>
          <w:b/>
          <w:color w:val="auto"/>
          <w:sz w:val="44"/>
          <w:szCs w:val="44"/>
        </w:rPr>
      </w:pPr>
      <w:r>
        <w:rPr>
          <w:rFonts w:hint="eastAsia" w:ascii="微软雅黑" w:hAnsi="微软雅黑" w:eastAsia="微软雅黑" w:cs="微软雅黑"/>
          <w:b/>
          <w:color w:val="auto"/>
          <w:sz w:val="36"/>
          <w:szCs w:val="36"/>
        </w:rPr>
        <w:t>第三篇  项目服务需求</w:t>
      </w:r>
      <w:bookmarkEnd w:id="63"/>
      <w:bookmarkEnd w:id="64"/>
    </w:p>
    <w:p>
      <w:pPr>
        <w:pStyle w:val="4"/>
        <w:keepNext w:val="0"/>
        <w:keepLines w:val="0"/>
        <w:spacing w:before="0" w:after="0" w:line="520" w:lineRule="exact"/>
        <w:ind w:firstLine="560" w:firstLineChars="200"/>
        <w:rPr>
          <w:rFonts w:hint="eastAsia" w:ascii="方正黑体_GBK" w:eastAsia="方正黑体_GBK"/>
          <w:b w:val="0"/>
          <w:color w:val="auto"/>
          <w:sz w:val="28"/>
          <w:szCs w:val="28"/>
        </w:rPr>
      </w:pPr>
      <w:bookmarkStart w:id="65" w:name="_Toc29888"/>
      <w:bookmarkStart w:id="66" w:name="_Toc12789058"/>
      <w:r>
        <w:rPr>
          <w:rFonts w:hint="eastAsia" w:ascii="方正黑体_GBK" w:eastAsia="方正黑体_GBK"/>
          <w:b w:val="0"/>
          <w:color w:val="auto"/>
          <w:sz w:val="28"/>
          <w:szCs w:val="28"/>
        </w:rPr>
        <w:t>一、项目概况</w:t>
      </w:r>
      <w:bookmarkEnd w:id="65"/>
    </w:p>
    <w:p>
      <w:pPr>
        <w:spacing w:line="520" w:lineRule="exact"/>
        <w:ind w:firstLine="560" w:firstLineChars="200"/>
        <w:rPr>
          <w:rFonts w:hint="eastAsia" w:ascii="方正仿宋_GBK" w:eastAsia="方正仿宋_GBK"/>
          <w:color w:val="auto"/>
          <w:sz w:val="28"/>
          <w:szCs w:val="28"/>
        </w:rPr>
      </w:pPr>
      <w:r>
        <w:rPr>
          <w:rFonts w:hint="eastAsia" w:ascii="方正仿宋_GBK" w:eastAsia="方正仿宋_GBK"/>
          <w:color w:val="auto"/>
          <w:sz w:val="28"/>
          <w:szCs w:val="28"/>
        </w:rPr>
        <w:t>1、项目基本情况</w:t>
      </w:r>
    </w:p>
    <w:tbl>
      <w:tblPr>
        <w:tblStyle w:val="58"/>
        <w:tblW w:w="9078" w:type="dxa"/>
        <w:tblInd w:w="93" w:type="dxa"/>
        <w:tblLayout w:type="autofit"/>
        <w:tblCellMar>
          <w:top w:w="0" w:type="dxa"/>
          <w:left w:w="108" w:type="dxa"/>
          <w:bottom w:w="0" w:type="dxa"/>
          <w:right w:w="108" w:type="dxa"/>
        </w:tblCellMar>
      </w:tblPr>
      <w:tblGrid>
        <w:gridCol w:w="803"/>
        <w:gridCol w:w="1646"/>
        <w:gridCol w:w="3466"/>
        <w:gridCol w:w="3163"/>
      </w:tblGrid>
      <w:tr>
        <w:tblPrEx>
          <w:tblCellMar>
            <w:top w:w="0" w:type="dxa"/>
            <w:left w:w="108" w:type="dxa"/>
            <w:bottom w:w="0" w:type="dxa"/>
            <w:right w:w="108" w:type="dxa"/>
          </w:tblCellMar>
        </w:tblPrEx>
        <w:trPr>
          <w:trHeight w:val="92" w:hRule="atLeast"/>
        </w:trPr>
        <w:tc>
          <w:tcPr>
            <w:tcW w:w="80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20" w:lineRule="exact"/>
              <w:jc w:val="center"/>
              <w:textAlignment w:val="center"/>
              <w:rPr>
                <w:rFonts w:hint="eastAsia" w:ascii="方正仿宋_GBK" w:hAnsi="方正黑体_GBK" w:eastAsia="方正仿宋_GBK" w:cs="方正黑体_GBK"/>
                <w:b/>
                <w:bCs/>
                <w:color w:val="auto"/>
                <w:sz w:val="28"/>
                <w:szCs w:val="28"/>
              </w:rPr>
            </w:pPr>
            <w:r>
              <w:rPr>
                <w:rFonts w:hint="eastAsia" w:ascii="方正仿宋_GBK" w:hAnsi="方正黑体_GBK" w:eastAsia="方正仿宋_GBK" w:cs="方正黑体_GBK"/>
                <w:b/>
                <w:bCs/>
                <w:color w:val="auto"/>
                <w:kern w:val="0"/>
                <w:sz w:val="28"/>
                <w:szCs w:val="28"/>
                <w:lang w:bidi="ar"/>
              </w:rPr>
              <w:t>序号</w:t>
            </w:r>
          </w:p>
        </w:tc>
        <w:tc>
          <w:tcPr>
            <w:tcW w:w="164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20" w:lineRule="exact"/>
              <w:jc w:val="center"/>
              <w:textAlignment w:val="center"/>
              <w:rPr>
                <w:rFonts w:hint="eastAsia" w:ascii="方正仿宋_GBK" w:hAnsi="方正黑体_GBK" w:eastAsia="方正仿宋_GBK" w:cs="方正黑体_GBK"/>
                <w:b/>
                <w:bCs/>
                <w:color w:val="auto"/>
                <w:sz w:val="28"/>
                <w:szCs w:val="28"/>
              </w:rPr>
            </w:pPr>
            <w:r>
              <w:rPr>
                <w:rFonts w:hint="eastAsia" w:ascii="方正仿宋_GBK" w:hAnsi="方正黑体_GBK" w:eastAsia="方正仿宋_GBK" w:cs="方正黑体_GBK"/>
                <w:b/>
                <w:bCs/>
                <w:color w:val="auto"/>
                <w:kern w:val="0"/>
                <w:sz w:val="28"/>
                <w:szCs w:val="28"/>
                <w:lang w:bidi="ar"/>
              </w:rPr>
              <w:t>课程名称</w:t>
            </w:r>
          </w:p>
        </w:tc>
        <w:tc>
          <w:tcPr>
            <w:tcW w:w="346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20" w:lineRule="exact"/>
              <w:jc w:val="center"/>
              <w:textAlignment w:val="center"/>
              <w:rPr>
                <w:rFonts w:hint="eastAsia" w:ascii="方正仿宋_GBK" w:hAnsi="方正仿宋_GBK" w:eastAsia="方正仿宋_GBK" w:cs="方正仿宋_GBK"/>
                <w:b/>
                <w:bCs/>
                <w:color w:val="auto"/>
                <w:sz w:val="28"/>
                <w:szCs w:val="28"/>
              </w:rPr>
            </w:pPr>
            <w:r>
              <w:rPr>
                <w:rFonts w:hint="eastAsia" w:ascii="方正仿宋_GBK" w:hAnsi="方正仿宋_GBK" w:eastAsia="方正仿宋_GBK" w:cs="方正仿宋_GBK"/>
                <w:b/>
                <w:bCs/>
                <w:color w:val="auto"/>
                <w:kern w:val="0"/>
                <w:sz w:val="28"/>
                <w:szCs w:val="28"/>
                <w:lang w:bidi="ar"/>
              </w:rPr>
              <w:t>项目</w:t>
            </w:r>
          </w:p>
        </w:tc>
        <w:tc>
          <w:tcPr>
            <w:tcW w:w="316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20" w:lineRule="exact"/>
              <w:jc w:val="center"/>
              <w:textAlignment w:val="center"/>
              <w:rPr>
                <w:rFonts w:hint="eastAsia" w:ascii="方正仿宋_GBK" w:hAnsi="方正仿宋_GBK" w:eastAsia="方正仿宋_GBK" w:cs="方正仿宋_GBK"/>
                <w:b/>
                <w:bCs/>
                <w:color w:val="auto"/>
                <w:sz w:val="28"/>
                <w:szCs w:val="28"/>
              </w:rPr>
            </w:pPr>
            <w:r>
              <w:rPr>
                <w:rFonts w:hint="eastAsia" w:ascii="方正仿宋_GBK" w:hAnsi="方正仿宋_GBK" w:eastAsia="方正仿宋_GBK" w:cs="方正仿宋_GBK"/>
                <w:b/>
                <w:bCs/>
                <w:color w:val="auto"/>
                <w:kern w:val="0"/>
                <w:sz w:val="28"/>
                <w:szCs w:val="28"/>
                <w:lang w:bidi="ar"/>
              </w:rPr>
              <w:t>项目明细</w:t>
            </w:r>
          </w:p>
        </w:tc>
      </w:tr>
      <w:tr>
        <w:tblPrEx>
          <w:tblCellMar>
            <w:top w:w="0" w:type="dxa"/>
            <w:left w:w="108" w:type="dxa"/>
            <w:bottom w:w="0" w:type="dxa"/>
            <w:right w:w="108" w:type="dxa"/>
          </w:tblCellMar>
        </w:tblPrEx>
        <w:trPr>
          <w:trHeight w:val="91" w:hRule="atLeast"/>
        </w:trPr>
        <w:tc>
          <w:tcPr>
            <w:tcW w:w="803" w:type="dxa"/>
            <w:vMerge w:val="restart"/>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w:t>
            </w:r>
          </w:p>
        </w:tc>
        <w:tc>
          <w:tcPr>
            <w:tcW w:w="1646" w:type="dxa"/>
            <w:vMerge w:val="restart"/>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传染病学</w:t>
            </w:r>
          </w:p>
        </w:tc>
        <w:tc>
          <w:tcPr>
            <w:tcW w:w="3466" w:type="dxa"/>
            <w:vMerge w:val="restart"/>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10分钟“说课”</w:t>
            </w:r>
          </w:p>
        </w:tc>
        <w:tc>
          <w:tcPr>
            <w:tcW w:w="3163"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jc w:val="center"/>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现场拍摄</w:t>
            </w:r>
          </w:p>
        </w:tc>
      </w:tr>
      <w:tr>
        <w:tblPrEx>
          <w:tblCellMar>
            <w:top w:w="0" w:type="dxa"/>
            <w:left w:w="108" w:type="dxa"/>
            <w:bottom w:w="0" w:type="dxa"/>
            <w:right w:w="108" w:type="dxa"/>
          </w:tblCellMar>
        </w:tblPrEx>
        <w:trPr>
          <w:trHeight w:val="91"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ind w:firstLine="480" w:firstLineChars="200"/>
              <w:rPr>
                <w:rFonts w:hint="eastAsia" w:ascii="方正仿宋_GBK" w:hAnsi="宋体" w:eastAsia="方正仿宋_GBK" w:cs="Times New Roman"/>
                <w:color w:val="auto"/>
                <w:sz w:val="24"/>
                <w:szCs w:val="24"/>
              </w:rPr>
            </w:pPr>
          </w:p>
        </w:tc>
        <w:tc>
          <w:tcPr>
            <w:tcW w:w="1646"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ind w:firstLine="480" w:firstLineChars="200"/>
              <w:rPr>
                <w:rFonts w:hint="eastAsia" w:ascii="方正仿宋_GBK" w:hAnsi="宋体" w:eastAsia="方正仿宋_GBK" w:cs="Times New Roman"/>
                <w:color w:val="auto"/>
                <w:sz w:val="24"/>
                <w:szCs w:val="24"/>
              </w:rPr>
            </w:pPr>
          </w:p>
        </w:tc>
        <w:tc>
          <w:tcPr>
            <w:tcW w:w="3466"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ind w:firstLine="480" w:firstLineChars="200"/>
              <w:rPr>
                <w:rFonts w:hint="eastAsia" w:ascii="方正仿宋_GBK" w:hAnsi="宋体" w:eastAsia="方正仿宋_GBK" w:cs="Times New Roman"/>
                <w:color w:val="auto"/>
                <w:sz w:val="24"/>
                <w:szCs w:val="24"/>
              </w:rPr>
            </w:pPr>
          </w:p>
        </w:tc>
        <w:tc>
          <w:tcPr>
            <w:tcW w:w="3163"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jc w:val="center"/>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动画制作</w:t>
            </w:r>
          </w:p>
        </w:tc>
      </w:tr>
      <w:tr>
        <w:tblPrEx>
          <w:tblCellMar>
            <w:top w:w="0" w:type="dxa"/>
            <w:left w:w="108" w:type="dxa"/>
            <w:bottom w:w="0" w:type="dxa"/>
            <w:right w:w="108" w:type="dxa"/>
          </w:tblCellMar>
        </w:tblPrEx>
        <w:trPr>
          <w:trHeight w:val="91"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ind w:firstLine="480" w:firstLineChars="200"/>
              <w:rPr>
                <w:rFonts w:hint="eastAsia" w:ascii="方正仿宋_GBK" w:hAnsi="宋体" w:eastAsia="方正仿宋_GBK" w:cs="Times New Roman"/>
                <w:color w:val="auto"/>
                <w:sz w:val="24"/>
                <w:szCs w:val="24"/>
              </w:rPr>
            </w:pPr>
          </w:p>
        </w:tc>
        <w:tc>
          <w:tcPr>
            <w:tcW w:w="1646"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ind w:firstLine="480" w:firstLineChars="200"/>
              <w:rPr>
                <w:rFonts w:hint="eastAsia" w:ascii="方正仿宋_GBK" w:hAnsi="宋体" w:eastAsia="方正仿宋_GBK" w:cs="Times New Roman"/>
                <w:color w:val="auto"/>
                <w:sz w:val="24"/>
                <w:szCs w:val="24"/>
              </w:rPr>
            </w:pPr>
          </w:p>
        </w:tc>
        <w:tc>
          <w:tcPr>
            <w:tcW w:w="3466"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ind w:firstLine="480" w:firstLineChars="200"/>
              <w:rPr>
                <w:rFonts w:hint="eastAsia" w:ascii="方正仿宋_GBK" w:hAnsi="宋体" w:eastAsia="方正仿宋_GBK" w:cs="Times New Roman"/>
                <w:color w:val="auto"/>
                <w:sz w:val="24"/>
                <w:szCs w:val="24"/>
              </w:rPr>
            </w:pPr>
          </w:p>
        </w:tc>
        <w:tc>
          <w:tcPr>
            <w:tcW w:w="3163"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jc w:val="center"/>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后期制作</w:t>
            </w:r>
          </w:p>
        </w:tc>
      </w:tr>
      <w:tr>
        <w:tblPrEx>
          <w:tblCellMar>
            <w:top w:w="0" w:type="dxa"/>
            <w:left w:w="108" w:type="dxa"/>
            <w:bottom w:w="0" w:type="dxa"/>
            <w:right w:w="108" w:type="dxa"/>
          </w:tblCellMar>
        </w:tblPrEx>
        <w:trPr>
          <w:trHeight w:val="91"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ind w:firstLine="480" w:firstLineChars="200"/>
              <w:rPr>
                <w:rFonts w:hint="eastAsia" w:ascii="方正仿宋_GBK" w:hAnsi="宋体" w:eastAsia="方正仿宋_GBK" w:cs="Times New Roman"/>
                <w:color w:val="auto"/>
                <w:sz w:val="24"/>
                <w:szCs w:val="24"/>
              </w:rPr>
            </w:pPr>
          </w:p>
        </w:tc>
        <w:tc>
          <w:tcPr>
            <w:tcW w:w="1646"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ind w:firstLine="480" w:firstLineChars="200"/>
              <w:rPr>
                <w:rFonts w:hint="eastAsia" w:ascii="方正仿宋_GBK" w:hAnsi="宋体" w:eastAsia="方正仿宋_GBK" w:cs="Times New Roman"/>
                <w:color w:val="auto"/>
                <w:sz w:val="24"/>
                <w:szCs w:val="24"/>
              </w:rPr>
            </w:pPr>
          </w:p>
        </w:tc>
        <w:tc>
          <w:tcPr>
            <w:tcW w:w="3466" w:type="dxa"/>
            <w:vMerge w:val="restart"/>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40分钟“教学实录”</w:t>
            </w:r>
          </w:p>
        </w:tc>
        <w:tc>
          <w:tcPr>
            <w:tcW w:w="3163"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jc w:val="center"/>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现场拍摄</w:t>
            </w:r>
          </w:p>
        </w:tc>
      </w:tr>
      <w:tr>
        <w:tblPrEx>
          <w:tblCellMar>
            <w:top w:w="0" w:type="dxa"/>
            <w:left w:w="108" w:type="dxa"/>
            <w:bottom w:w="0" w:type="dxa"/>
            <w:right w:w="108" w:type="dxa"/>
          </w:tblCellMar>
        </w:tblPrEx>
        <w:trPr>
          <w:trHeight w:val="91"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ind w:firstLine="480" w:firstLineChars="200"/>
              <w:rPr>
                <w:rFonts w:hint="eastAsia" w:ascii="方正仿宋_GBK" w:hAnsi="宋体" w:eastAsia="方正仿宋_GBK" w:cs="Times New Roman"/>
                <w:color w:val="auto"/>
                <w:sz w:val="24"/>
                <w:szCs w:val="24"/>
              </w:rPr>
            </w:pPr>
          </w:p>
        </w:tc>
        <w:tc>
          <w:tcPr>
            <w:tcW w:w="1646"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ind w:firstLine="480" w:firstLineChars="200"/>
              <w:rPr>
                <w:rFonts w:hint="eastAsia" w:ascii="方正仿宋_GBK" w:hAnsi="宋体" w:eastAsia="方正仿宋_GBK" w:cs="Times New Roman"/>
                <w:color w:val="auto"/>
                <w:sz w:val="24"/>
                <w:szCs w:val="24"/>
              </w:rPr>
            </w:pPr>
          </w:p>
        </w:tc>
        <w:tc>
          <w:tcPr>
            <w:tcW w:w="3466"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ind w:firstLine="480" w:firstLineChars="200"/>
              <w:rPr>
                <w:rFonts w:hint="eastAsia" w:ascii="方正仿宋_GBK" w:hAnsi="宋体" w:eastAsia="方正仿宋_GBK" w:cs="Times New Roman"/>
                <w:color w:val="auto"/>
                <w:sz w:val="24"/>
                <w:szCs w:val="24"/>
              </w:rPr>
            </w:pPr>
          </w:p>
        </w:tc>
        <w:tc>
          <w:tcPr>
            <w:tcW w:w="3163"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jc w:val="center"/>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后期制作</w:t>
            </w:r>
          </w:p>
        </w:tc>
      </w:tr>
      <w:tr>
        <w:tblPrEx>
          <w:tblCellMar>
            <w:top w:w="0" w:type="dxa"/>
            <w:left w:w="108" w:type="dxa"/>
            <w:bottom w:w="0" w:type="dxa"/>
            <w:right w:w="108" w:type="dxa"/>
          </w:tblCellMar>
        </w:tblPrEx>
        <w:trPr>
          <w:trHeight w:val="624" w:hRule="atLeast"/>
        </w:trPr>
        <w:tc>
          <w:tcPr>
            <w:tcW w:w="803" w:type="dxa"/>
            <w:vMerge w:val="restart"/>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w:t>
            </w:r>
          </w:p>
        </w:tc>
        <w:tc>
          <w:tcPr>
            <w:tcW w:w="1646" w:type="dxa"/>
            <w:vMerge w:val="restart"/>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内科学</w:t>
            </w:r>
          </w:p>
        </w:tc>
        <w:tc>
          <w:tcPr>
            <w:tcW w:w="3466" w:type="dxa"/>
            <w:vMerge w:val="restart"/>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10分钟“说课”</w:t>
            </w:r>
          </w:p>
        </w:tc>
        <w:tc>
          <w:tcPr>
            <w:tcW w:w="3163" w:type="dxa"/>
            <w:vMerge w:val="restart"/>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jc w:val="center"/>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后期制作</w:t>
            </w:r>
          </w:p>
        </w:tc>
      </w:tr>
      <w:tr>
        <w:tblPrEx>
          <w:tblCellMar>
            <w:top w:w="0" w:type="dxa"/>
            <w:left w:w="108" w:type="dxa"/>
            <w:bottom w:w="0" w:type="dxa"/>
            <w:right w:w="108" w:type="dxa"/>
          </w:tblCellMar>
        </w:tblPrEx>
        <w:trPr>
          <w:trHeight w:val="520"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ind w:firstLine="480" w:firstLineChars="200"/>
              <w:rPr>
                <w:rFonts w:hint="eastAsia" w:ascii="方正仿宋_GBK" w:hAnsi="宋体" w:eastAsia="方正仿宋_GBK" w:cs="Times New Roman"/>
                <w:color w:val="auto"/>
                <w:sz w:val="24"/>
                <w:szCs w:val="24"/>
              </w:rPr>
            </w:pPr>
          </w:p>
        </w:tc>
        <w:tc>
          <w:tcPr>
            <w:tcW w:w="1646"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ind w:firstLine="480" w:firstLineChars="200"/>
              <w:rPr>
                <w:rFonts w:hint="eastAsia" w:ascii="方正仿宋_GBK" w:hAnsi="宋体" w:eastAsia="方正仿宋_GBK" w:cs="Times New Roman"/>
                <w:color w:val="auto"/>
                <w:sz w:val="24"/>
                <w:szCs w:val="24"/>
              </w:rPr>
            </w:pPr>
          </w:p>
        </w:tc>
        <w:tc>
          <w:tcPr>
            <w:tcW w:w="3466"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ind w:firstLine="480" w:firstLineChars="200"/>
              <w:rPr>
                <w:rFonts w:hint="eastAsia" w:ascii="方正仿宋_GBK" w:hAnsi="宋体" w:eastAsia="方正仿宋_GBK" w:cs="Times New Roman"/>
                <w:color w:val="auto"/>
                <w:sz w:val="24"/>
                <w:szCs w:val="24"/>
              </w:rPr>
            </w:pPr>
          </w:p>
        </w:tc>
        <w:tc>
          <w:tcPr>
            <w:tcW w:w="3163"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ind w:firstLine="480" w:firstLineChars="200"/>
              <w:jc w:val="center"/>
              <w:rPr>
                <w:rFonts w:hint="eastAsia" w:ascii="方正仿宋_GBK" w:hAnsi="宋体" w:eastAsia="方正仿宋_GBK" w:cs="Times New Roman"/>
                <w:color w:val="auto"/>
                <w:sz w:val="24"/>
                <w:szCs w:val="24"/>
              </w:rPr>
            </w:pPr>
          </w:p>
        </w:tc>
      </w:tr>
      <w:tr>
        <w:tblPrEx>
          <w:tblCellMar>
            <w:top w:w="0" w:type="dxa"/>
            <w:left w:w="108" w:type="dxa"/>
            <w:bottom w:w="0" w:type="dxa"/>
            <w:right w:w="108" w:type="dxa"/>
          </w:tblCellMar>
        </w:tblPrEx>
        <w:trPr>
          <w:trHeight w:val="91"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ind w:firstLine="480" w:firstLineChars="200"/>
              <w:rPr>
                <w:rFonts w:hint="eastAsia" w:ascii="方正仿宋_GBK" w:hAnsi="宋体" w:eastAsia="方正仿宋_GBK" w:cs="Times New Roman"/>
                <w:color w:val="auto"/>
                <w:sz w:val="24"/>
                <w:szCs w:val="24"/>
              </w:rPr>
            </w:pPr>
          </w:p>
        </w:tc>
        <w:tc>
          <w:tcPr>
            <w:tcW w:w="1646"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ind w:firstLine="480" w:firstLineChars="200"/>
              <w:rPr>
                <w:rFonts w:hint="eastAsia" w:ascii="方正仿宋_GBK" w:hAnsi="宋体" w:eastAsia="方正仿宋_GBK" w:cs="Times New Roman"/>
                <w:color w:val="auto"/>
                <w:sz w:val="24"/>
                <w:szCs w:val="24"/>
              </w:rPr>
            </w:pPr>
          </w:p>
        </w:tc>
        <w:tc>
          <w:tcPr>
            <w:tcW w:w="3466" w:type="dxa"/>
            <w:vMerge w:val="restart"/>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40分钟“教学实录”</w:t>
            </w:r>
          </w:p>
        </w:tc>
        <w:tc>
          <w:tcPr>
            <w:tcW w:w="3163"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jc w:val="center"/>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现场拍摄</w:t>
            </w:r>
          </w:p>
        </w:tc>
      </w:tr>
      <w:tr>
        <w:tblPrEx>
          <w:tblCellMar>
            <w:top w:w="0" w:type="dxa"/>
            <w:left w:w="108" w:type="dxa"/>
            <w:bottom w:w="0" w:type="dxa"/>
            <w:right w:w="108" w:type="dxa"/>
          </w:tblCellMar>
        </w:tblPrEx>
        <w:trPr>
          <w:trHeight w:val="91"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ind w:firstLine="480" w:firstLineChars="200"/>
              <w:rPr>
                <w:rFonts w:hint="eastAsia" w:ascii="方正仿宋_GBK" w:hAnsi="宋体" w:eastAsia="方正仿宋_GBK" w:cs="Times New Roman"/>
                <w:color w:val="auto"/>
                <w:sz w:val="24"/>
                <w:szCs w:val="24"/>
              </w:rPr>
            </w:pPr>
          </w:p>
        </w:tc>
        <w:tc>
          <w:tcPr>
            <w:tcW w:w="1646"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ind w:firstLine="480" w:firstLineChars="200"/>
              <w:rPr>
                <w:rFonts w:hint="eastAsia" w:ascii="方正仿宋_GBK" w:hAnsi="宋体" w:eastAsia="方正仿宋_GBK" w:cs="Times New Roman"/>
                <w:color w:val="auto"/>
                <w:sz w:val="24"/>
                <w:szCs w:val="24"/>
              </w:rPr>
            </w:pPr>
          </w:p>
        </w:tc>
        <w:tc>
          <w:tcPr>
            <w:tcW w:w="3466"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ind w:firstLine="480" w:firstLineChars="200"/>
              <w:rPr>
                <w:rFonts w:hint="eastAsia" w:ascii="方正仿宋_GBK" w:hAnsi="宋体" w:eastAsia="方正仿宋_GBK" w:cs="Times New Roman"/>
                <w:color w:val="auto"/>
                <w:sz w:val="24"/>
                <w:szCs w:val="24"/>
              </w:rPr>
            </w:pPr>
          </w:p>
        </w:tc>
        <w:tc>
          <w:tcPr>
            <w:tcW w:w="3163"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jc w:val="center"/>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后期制作</w:t>
            </w:r>
          </w:p>
        </w:tc>
      </w:tr>
      <w:tr>
        <w:tblPrEx>
          <w:tblCellMar>
            <w:top w:w="0" w:type="dxa"/>
            <w:left w:w="108" w:type="dxa"/>
            <w:bottom w:w="0" w:type="dxa"/>
            <w:right w:w="108" w:type="dxa"/>
          </w:tblCellMar>
        </w:tblPrEx>
        <w:trPr>
          <w:trHeight w:val="91" w:hRule="atLeast"/>
        </w:trPr>
        <w:tc>
          <w:tcPr>
            <w:tcW w:w="803" w:type="dxa"/>
            <w:vMerge w:val="restart"/>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w:t>
            </w:r>
          </w:p>
        </w:tc>
        <w:tc>
          <w:tcPr>
            <w:tcW w:w="1646" w:type="dxa"/>
            <w:vMerge w:val="restart"/>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儿科学</w:t>
            </w:r>
          </w:p>
        </w:tc>
        <w:tc>
          <w:tcPr>
            <w:tcW w:w="3466" w:type="dxa"/>
            <w:vMerge w:val="restart"/>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10分钟“说课”</w:t>
            </w:r>
          </w:p>
        </w:tc>
        <w:tc>
          <w:tcPr>
            <w:tcW w:w="3163"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jc w:val="center"/>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现场拍摄</w:t>
            </w:r>
          </w:p>
        </w:tc>
      </w:tr>
      <w:tr>
        <w:tblPrEx>
          <w:tblCellMar>
            <w:top w:w="0" w:type="dxa"/>
            <w:left w:w="108" w:type="dxa"/>
            <w:bottom w:w="0" w:type="dxa"/>
            <w:right w:w="108" w:type="dxa"/>
          </w:tblCellMar>
        </w:tblPrEx>
        <w:trPr>
          <w:trHeight w:val="91"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ind w:firstLine="480" w:firstLineChars="200"/>
              <w:rPr>
                <w:rFonts w:hint="eastAsia" w:ascii="方正仿宋_GBK" w:hAnsi="宋体" w:eastAsia="方正仿宋_GBK" w:cs="Times New Roman"/>
                <w:color w:val="auto"/>
                <w:sz w:val="24"/>
                <w:szCs w:val="24"/>
              </w:rPr>
            </w:pPr>
          </w:p>
        </w:tc>
        <w:tc>
          <w:tcPr>
            <w:tcW w:w="1646"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ind w:firstLine="480" w:firstLineChars="200"/>
              <w:rPr>
                <w:rFonts w:hint="eastAsia" w:ascii="方正仿宋_GBK" w:hAnsi="宋体" w:eastAsia="方正仿宋_GBK" w:cs="Times New Roman"/>
                <w:color w:val="auto"/>
                <w:sz w:val="24"/>
                <w:szCs w:val="24"/>
              </w:rPr>
            </w:pPr>
          </w:p>
        </w:tc>
        <w:tc>
          <w:tcPr>
            <w:tcW w:w="3466"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ind w:firstLine="480" w:firstLineChars="200"/>
              <w:rPr>
                <w:rFonts w:hint="eastAsia" w:ascii="方正仿宋_GBK" w:hAnsi="宋体" w:eastAsia="方正仿宋_GBK" w:cs="Times New Roman"/>
                <w:color w:val="auto"/>
                <w:sz w:val="24"/>
                <w:szCs w:val="24"/>
              </w:rPr>
            </w:pPr>
          </w:p>
        </w:tc>
        <w:tc>
          <w:tcPr>
            <w:tcW w:w="3163"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jc w:val="center"/>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动画制作</w:t>
            </w:r>
          </w:p>
        </w:tc>
      </w:tr>
      <w:tr>
        <w:tblPrEx>
          <w:tblCellMar>
            <w:top w:w="0" w:type="dxa"/>
            <w:left w:w="108" w:type="dxa"/>
            <w:bottom w:w="0" w:type="dxa"/>
            <w:right w:w="108" w:type="dxa"/>
          </w:tblCellMar>
        </w:tblPrEx>
        <w:trPr>
          <w:trHeight w:val="91"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ind w:firstLine="480" w:firstLineChars="200"/>
              <w:rPr>
                <w:rFonts w:hint="eastAsia" w:ascii="方正仿宋_GBK" w:hAnsi="宋体" w:eastAsia="方正仿宋_GBK" w:cs="Times New Roman"/>
                <w:color w:val="auto"/>
                <w:sz w:val="24"/>
                <w:szCs w:val="24"/>
              </w:rPr>
            </w:pPr>
          </w:p>
        </w:tc>
        <w:tc>
          <w:tcPr>
            <w:tcW w:w="1646"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ind w:firstLine="480" w:firstLineChars="200"/>
              <w:rPr>
                <w:rFonts w:hint="eastAsia" w:ascii="方正仿宋_GBK" w:hAnsi="宋体" w:eastAsia="方正仿宋_GBK" w:cs="Times New Roman"/>
                <w:color w:val="auto"/>
                <w:sz w:val="24"/>
                <w:szCs w:val="24"/>
              </w:rPr>
            </w:pPr>
          </w:p>
        </w:tc>
        <w:tc>
          <w:tcPr>
            <w:tcW w:w="3466"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ind w:firstLine="480" w:firstLineChars="200"/>
              <w:rPr>
                <w:rFonts w:hint="eastAsia" w:ascii="方正仿宋_GBK" w:hAnsi="宋体" w:eastAsia="方正仿宋_GBK" w:cs="Times New Roman"/>
                <w:color w:val="auto"/>
                <w:sz w:val="24"/>
                <w:szCs w:val="24"/>
              </w:rPr>
            </w:pPr>
          </w:p>
        </w:tc>
        <w:tc>
          <w:tcPr>
            <w:tcW w:w="3163"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jc w:val="center"/>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后期制作</w:t>
            </w:r>
          </w:p>
        </w:tc>
      </w:tr>
      <w:tr>
        <w:tblPrEx>
          <w:tblCellMar>
            <w:top w:w="0" w:type="dxa"/>
            <w:left w:w="108" w:type="dxa"/>
            <w:bottom w:w="0" w:type="dxa"/>
            <w:right w:w="108" w:type="dxa"/>
          </w:tblCellMar>
        </w:tblPrEx>
        <w:trPr>
          <w:trHeight w:val="91"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ind w:firstLine="480" w:firstLineChars="200"/>
              <w:rPr>
                <w:rFonts w:hint="eastAsia" w:ascii="方正仿宋_GBK" w:hAnsi="宋体" w:eastAsia="方正仿宋_GBK" w:cs="Times New Roman"/>
                <w:color w:val="auto"/>
                <w:sz w:val="24"/>
                <w:szCs w:val="24"/>
              </w:rPr>
            </w:pPr>
          </w:p>
        </w:tc>
        <w:tc>
          <w:tcPr>
            <w:tcW w:w="1646"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ind w:firstLine="480" w:firstLineChars="200"/>
              <w:rPr>
                <w:rFonts w:hint="eastAsia" w:ascii="方正仿宋_GBK" w:hAnsi="宋体" w:eastAsia="方正仿宋_GBK" w:cs="Times New Roman"/>
                <w:color w:val="auto"/>
                <w:sz w:val="24"/>
                <w:szCs w:val="24"/>
              </w:rPr>
            </w:pPr>
          </w:p>
        </w:tc>
        <w:tc>
          <w:tcPr>
            <w:tcW w:w="3466" w:type="dxa"/>
            <w:vMerge w:val="restart"/>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40分钟“教学实录”</w:t>
            </w:r>
          </w:p>
        </w:tc>
        <w:tc>
          <w:tcPr>
            <w:tcW w:w="3163"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jc w:val="center"/>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现场拍摄</w:t>
            </w:r>
          </w:p>
        </w:tc>
      </w:tr>
      <w:tr>
        <w:tblPrEx>
          <w:tblCellMar>
            <w:top w:w="0" w:type="dxa"/>
            <w:left w:w="108" w:type="dxa"/>
            <w:bottom w:w="0" w:type="dxa"/>
            <w:right w:w="108" w:type="dxa"/>
          </w:tblCellMar>
        </w:tblPrEx>
        <w:trPr>
          <w:trHeight w:val="91"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ind w:firstLine="480" w:firstLineChars="200"/>
              <w:rPr>
                <w:rFonts w:hint="eastAsia" w:ascii="方正仿宋_GBK" w:hAnsi="宋体" w:eastAsia="方正仿宋_GBK" w:cs="Times New Roman"/>
                <w:color w:val="auto"/>
                <w:sz w:val="24"/>
                <w:szCs w:val="24"/>
              </w:rPr>
            </w:pPr>
          </w:p>
        </w:tc>
        <w:tc>
          <w:tcPr>
            <w:tcW w:w="1646"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ind w:firstLine="480" w:firstLineChars="200"/>
              <w:rPr>
                <w:rFonts w:hint="eastAsia" w:ascii="方正仿宋_GBK" w:hAnsi="宋体" w:eastAsia="方正仿宋_GBK" w:cs="Times New Roman"/>
                <w:color w:val="auto"/>
                <w:sz w:val="24"/>
                <w:szCs w:val="24"/>
              </w:rPr>
            </w:pPr>
          </w:p>
        </w:tc>
        <w:tc>
          <w:tcPr>
            <w:tcW w:w="3466"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ind w:firstLine="480" w:firstLineChars="200"/>
              <w:rPr>
                <w:rFonts w:hint="eastAsia" w:ascii="方正仿宋_GBK" w:hAnsi="宋体" w:eastAsia="方正仿宋_GBK" w:cs="Times New Roman"/>
                <w:color w:val="auto"/>
                <w:sz w:val="24"/>
                <w:szCs w:val="24"/>
              </w:rPr>
            </w:pPr>
          </w:p>
        </w:tc>
        <w:tc>
          <w:tcPr>
            <w:tcW w:w="3163"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jc w:val="center"/>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后期制作</w:t>
            </w:r>
          </w:p>
        </w:tc>
      </w:tr>
      <w:tr>
        <w:tblPrEx>
          <w:tblCellMar>
            <w:top w:w="0" w:type="dxa"/>
            <w:left w:w="108" w:type="dxa"/>
            <w:bottom w:w="0" w:type="dxa"/>
            <w:right w:w="108" w:type="dxa"/>
          </w:tblCellMar>
        </w:tblPrEx>
        <w:trPr>
          <w:trHeight w:val="91" w:hRule="atLeast"/>
        </w:trPr>
        <w:tc>
          <w:tcPr>
            <w:tcW w:w="803" w:type="dxa"/>
            <w:vMerge w:val="restart"/>
            <w:tcBorders>
              <w:top w:val="single" w:color="000000" w:sz="4" w:space="0"/>
              <w:left w:val="single" w:color="000000" w:sz="4" w:space="0"/>
              <w:bottom w:val="single" w:color="000000" w:sz="4" w:space="0"/>
              <w:right w:val="single" w:color="000000" w:sz="4" w:space="0"/>
            </w:tcBorders>
            <w:noWrap/>
            <w:vAlign w:val="center"/>
          </w:tcPr>
          <w:p>
            <w:pPr>
              <w:snapToGrid w:val="0"/>
              <w:spacing w:line="400" w:lineRule="exac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w:t>
            </w:r>
          </w:p>
        </w:tc>
        <w:tc>
          <w:tcPr>
            <w:tcW w:w="1646" w:type="dxa"/>
            <w:vMerge w:val="restart"/>
            <w:tcBorders>
              <w:top w:val="single" w:color="000000" w:sz="4" w:space="0"/>
              <w:left w:val="single" w:color="000000" w:sz="4" w:space="0"/>
              <w:bottom w:val="single" w:color="000000" w:sz="4" w:space="0"/>
              <w:right w:val="single" w:color="000000" w:sz="4" w:space="0"/>
            </w:tcBorders>
            <w:noWrap/>
            <w:vAlign w:val="center"/>
          </w:tcPr>
          <w:p>
            <w:pPr>
              <w:snapToGrid w:val="0"/>
              <w:spacing w:line="400" w:lineRule="exac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眼科学</w:t>
            </w:r>
          </w:p>
        </w:tc>
        <w:tc>
          <w:tcPr>
            <w:tcW w:w="3466"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10分钟“说课”</w:t>
            </w:r>
          </w:p>
        </w:tc>
        <w:tc>
          <w:tcPr>
            <w:tcW w:w="3163"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jc w:val="center"/>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后期制作</w:t>
            </w:r>
          </w:p>
        </w:tc>
      </w:tr>
      <w:tr>
        <w:tblPrEx>
          <w:tblCellMar>
            <w:top w:w="0" w:type="dxa"/>
            <w:left w:w="108" w:type="dxa"/>
            <w:bottom w:w="0" w:type="dxa"/>
            <w:right w:w="108" w:type="dxa"/>
          </w:tblCellMar>
        </w:tblPrEx>
        <w:trPr>
          <w:trHeight w:val="91"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spacing w:line="400" w:lineRule="exact"/>
              <w:ind w:firstLine="480" w:firstLineChars="200"/>
              <w:rPr>
                <w:rFonts w:hint="eastAsia" w:ascii="方正仿宋_GBK" w:hAnsi="宋体" w:eastAsia="方正仿宋_GBK" w:cs="Times New Roman"/>
                <w:color w:val="auto"/>
                <w:sz w:val="24"/>
                <w:szCs w:val="24"/>
              </w:rPr>
            </w:pPr>
          </w:p>
        </w:tc>
        <w:tc>
          <w:tcPr>
            <w:tcW w:w="1646" w:type="dxa"/>
            <w:vMerge w:val="continue"/>
            <w:tcBorders>
              <w:top w:val="single" w:color="000000" w:sz="4" w:space="0"/>
              <w:left w:val="single" w:color="000000" w:sz="4" w:space="0"/>
              <w:bottom w:val="single" w:color="000000" w:sz="4" w:space="0"/>
              <w:right w:val="single" w:color="000000" w:sz="4" w:space="0"/>
            </w:tcBorders>
            <w:noWrap/>
            <w:vAlign w:val="center"/>
          </w:tcPr>
          <w:p>
            <w:pPr>
              <w:snapToGrid w:val="0"/>
              <w:spacing w:line="400" w:lineRule="exact"/>
              <w:ind w:firstLine="480" w:firstLineChars="200"/>
              <w:rPr>
                <w:rFonts w:hint="eastAsia" w:ascii="方正仿宋_GBK" w:hAnsi="宋体" w:eastAsia="方正仿宋_GBK" w:cs="Times New Roman"/>
                <w:color w:val="auto"/>
                <w:sz w:val="24"/>
                <w:szCs w:val="24"/>
              </w:rPr>
            </w:pPr>
          </w:p>
        </w:tc>
        <w:tc>
          <w:tcPr>
            <w:tcW w:w="3466"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40分钟“教学实录”</w:t>
            </w:r>
          </w:p>
        </w:tc>
        <w:tc>
          <w:tcPr>
            <w:tcW w:w="3163"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jc w:val="center"/>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后期制作</w:t>
            </w:r>
          </w:p>
        </w:tc>
      </w:tr>
      <w:tr>
        <w:tblPrEx>
          <w:tblCellMar>
            <w:top w:w="0" w:type="dxa"/>
            <w:left w:w="108" w:type="dxa"/>
            <w:bottom w:w="0" w:type="dxa"/>
            <w:right w:w="108" w:type="dxa"/>
          </w:tblCellMar>
        </w:tblPrEx>
        <w:trPr>
          <w:trHeight w:val="91" w:hRule="atLeast"/>
        </w:trPr>
        <w:tc>
          <w:tcPr>
            <w:tcW w:w="803" w:type="dxa"/>
            <w:vMerge w:val="restart"/>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w:t>
            </w:r>
          </w:p>
        </w:tc>
        <w:tc>
          <w:tcPr>
            <w:tcW w:w="1646" w:type="dxa"/>
            <w:vMerge w:val="restart"/>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妇产科护理学</w:t>
            </w:r>
          </w:p>
        </w:tc>
        <w:tc>
          <w:tcPr>
            <w:tcW w:w="3466" w:type="dxa"/>
            <w:vMerge w:val="restart"/>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10分钟“说课”</w:t>
            </w:r>
          </w:p>
        </w:tc>
        <w:tc>
          <w:tcPr>
            <w:tcW w:w="3163"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jc w:val="center"/>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现场拍摄</w:t>
            </w:r>
          </w:p>
        </w:tc>
      </w:tr>
      <w:tr>
        <w:tblPrEx>
          <w:tblCellMar>
            <w:top w:w="0" w:type="dxa"/>
            <w:left w:w="108" w:type="dxa"/>
            <w:bottom w:w="0" w:type="dxa"/>
            <w:right w:w="108" w:type="dxa"/>
          </w:tblCellMar>
        </w:tblPrEx>
        <w:trPr>
          <w:trHeight w:val="91"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ind w:firstLine="480" w:firstLineChars="200"/>
              <w:rPr>
                <w:rFonts w:hint="eastAsia" w:ascii="方正仿宋_GBK" w:hAnsi="宋体" w:eastAsia="方正仿宋_GBK" w:cs="Times New Roman"/>
                <w:color w:val="auto"/>
                <w:sz w:val="24"/>
                <w:szCs w:val="24"/>
              </w:rPr>
            </w:pPr>
          </w:p>
        </w:tc>
        <w:tc>
          <w:tcPr>
            <w:tcW w:w="1646"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ind w:firstLine="480" w:firstLineChars="200"/>
              <w:rPr>
                <w:rFonts w:hint="eastAsia" w:ascii="方正仿宋_GBK" w:hAnsi="宋体" w:eastAsia="方正仿宋_GBK" w:cs="Times New Roman"/>
                <w:color w:val="auto"/>
                <w:sz w:val="24"/>
                <w:szCs w:val="24"/>
              </w:rPr>
            </w:pPr>
          </w:p>
        </w:tc>
        <w:tc>
          <w:tcPr>
            <w:tcW w:w="3466"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ind w:firstLine="480" w:firstLineChars="200"/>
              <w:rPr>
                <w:rFonts w:hint="eastAsia" w:ascii="方正仿宋_GBK" w:hAnsi="宋体" w:eastAsia="方正仿宋_GBK" w:cs="Times New Roman"/>
                <w:color w:val="auto"/>
                <w:sz w:val="24"/>
                <w:szCs w:val="24"/>
              </w:rPr>
            </w:pPr>
          </w:p>
        </w:tc>
        <w:tc>
          <w:tcPr>
            <w:tcW w:w="3163"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jc w:val="center"/>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动画制作</w:t>
            </w:r>
          </w:p>
        </w:tc>
      </w:tr>
      <w:tr>
        <w:tblPrEx>
          <w:tblCellMar>
            <w:top w:w="0" w:type="dxa"/>
            <w:left w:w="108" w:type="dxa"/>
            <w:bottom w:w="0" w:type="dxa"/>
            <w:right w:w="108" w:type="dxa"/>
          </w:tblCellMar>
        </w:tblPrEx>
        <w:trPr>
          <w:trHeight w:val="91"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ind w:firstLine="480" w:firstLineChars="200"/>
              <w:rPr>
                <w:rFonts w:hint="eastAsia" w:ascii="方正仿宋_GBK" w:hAnsi="宋体" w:eastAsia="方正仿宋_GBK" w:cs="Times New Roman"/>
                <w:color w:val="auto"/>
                <w:sz w:val="24"/>
                <w:szCs w:val="24"/>
              </w:rPr>
            </w:pPr>
          </w:p>
        </w:tc>
        <w:tc>
          <w:tcPr>
            <w:tcW w:w="1646"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ind w:firstLine="480" w:firstLineChars="200"/>
              <w:rPr>
                <w:rFonts w:hint="eastAsia" w:ascii="方正仿宋_GBK" w:hAnsi="宋体" w:eastAsia="方正仿宋_GBK" w:cs="Times New Roman"/>
                <w:color w:val="auto"/>
                <w:sz w:val="24"/>
                <w:szCs w:val="24"/>
              </w:rPr>
            </w:pPr>
          </w:p>
        </w:tc>
        <w:tc>
          <w:tcPr>
            <w:tcW w:w="3466"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ind w:firstLine="480" w:firstLineChars="200"/>
              <w:rPr>
                <w:rFonts w:hint="eastAsia" w:ascii="方正仿宋_GBK" w:hAnsi="宋体" w:eastAsia="方正仿宋_GBK" w:cs="Times New Roman"/>
                <w:color w:val="auto"/>
                <w:sz w:val="24"/>
                <w:szCs w:val="24"/>
              </w:rPr>
            </w:pPr>
          </w:p>
        </w:tc>
        <w:tc>
          <w:tcPr>
            <w:tcW w:w="3163"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jc w:val="center"/>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后期制作</w:t>
            </w:r>
          </w:p>
        </w:tc>
      </w:tr>
      <w:tr>
        <w:tblPrEx>
          <w:tblCellMar>
            <w:top w:w="0" w:type="dxa"/>
            <w:left w:w="108" w:type="dxa"/>
            <w:bottom w:w="0" w:type="dxa"/>
            <w:right w:w="108" w:type="dxa"/>
          </w:tblCellMar>
        </w:tblPrEx>
        <w:trPr>
          <w:trHeight w:val="91"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ind w:firstLine="480" w:firstLineChars="200"/>
              <w:rPr>
                <w:rFonts w:hint="eastAsia" w:ascii="方正仿宋_GBK" w:hAnsi="宋体" w:eastAsia="方正仿宋_GBK" w:cs="Times New Roman"/>
                <w:color w:val="auto"/>
                <w:sz w:val="24"/>
                <w:szCs w:val="24"/>
              </w:rPr>
            </w:pPr>
          </w:p>
        </w:tc>
        <w:tc>
          <w:tcPr>
            <w:tcW w:w="1646"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ind w:firstLine="480" w:firstLineChars="200"/>
              <w:rPr>
                <w:rFonts w:hint="eastAsia" w:ascii="方正仿宋_GBK" w:hAnsi="宋体" w:eastAsia="方正仿宋_GBK" w:cs="Times New Roman"/>
                <w:color w:val="auto"/>
                <w:sz w:val="24"/>
                <w:szCs w:val="24"/>
              </w:rPr>
            </w:pPr>
          </w:p>
        </w:tc>
        <w:tc>
          <w:tcPr>
            <w:tcW w:w="3466" w:type="dxa"/>
            <w:vMerge w:val="restart"/>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40分钟“教学实录”</w:t>
            </w:r>
          </w:p>
        </w:tc>
        <w:tc>
          <w:tcPr>
            <w:tcW w:w="3163"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jc w:val="center"/>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现场拍摄</w:t>
            </w:r>
          </w:p>
        </w:tc>
      </w:tr>
      <w:tr>
        <w:tblPrEx>
          <w:tblCellMar>
            <w:top w:w="0" w:type="dxa"/>
            <w:left w:w="108" w:type="dxa"/>
            <w:bottom w:w="0" w:type="dxa"/>
            <w:right w:w="108" w:type="dxa"/>
          </w:tblCellMar>
        </w:tblPrEx>
        <w:trPr>
          <w:trHeight w:val="92" w:hRule="atLeast"/>
        </w:trPr>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ind w:firstLine="480" w:firstLineChars="200"/>
              <w:rPr>
                <w:rFonts w:hint="eastAsia" w:ascii="方正仿宋_GBK" w:hAnsi="宋体" w:eastAsia="方正仿宋_GBK" w:cs="Times New Roman"/>
                <w:color w:val="auto"/>
                <w:sz w:val="24"/>
                <w:szCs w:val="24"/>
              </w:rPr>
            </w:pPr>
          </w:p>
        </w:tc>
        <w:tc>
          <w:tcPr>
            <w:tcW w:w="1646"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ind w:firstLine="480" w:firstLineChars="200"/>
              <w:rPr>
                <w:rFonts w:hint="eastAsia" w:ascii="方正仿宋_GBK" w:hAnsi="宋体" w:eastAsia="方正仿宋_GBK" w:cs="Times New Roman"/>
                <w:color w:val="auto"/>
                <w:sz w:val="24"/>
                <w:szCs w:val="24"/>
              </w:rPr>
            </w:pPr>
          </w:p>
        </w:tc>
        <w:tc>
          <w:tcPr>
            <w:tcW w:w="3466"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ind w:firstLine="480" w:firstLineChars="200"/>
              <w:rPr>
                <w:rFonts w:hint="eastAsia" w:ascii="方正仿宋_GBK" w:hAnsi="宋体" w:eastAsia="方正仿宋_GBK" w:cs="Times New Roman"/>
                <w:color w:val="auto"/>
                <w:sz w:val="24"/>
                <w:szCs w:val="24"/>
              </w:rPr>
            </w:pPr>
          </w:p>
        </w:tc>
        <w:tc>
          <w:tcPr>
            <w:tcW w:w="3163"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jc w:val="center"/>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后期制作</w:t>
            </w:r>
          </w:p>
        </w:tc>
      </w:tr>
    </w:tbl>
    <w:p>
      <w:pPr>
        <w:spacing w:line="520" w:lineRule="exact"/>
        <w:ind w:firstLine="562" w:firstLineChars="200"/>
        <w:rPr>
          <w:rFonts w:hint="eastAsia" w:ascii="方正黑体_GBK" w:eastAsia="方正黑体_GBK"/>
          <w:b/>
          <w:color w:val="auto"/>
          <w:sz w:val="28"/>
          <w:szCs w:val="28"/>
        </w:rPr>
      </w:pPr>
    </w:p>
    <w:p>
      <w:pPr>
        <w:spacing w:line="520" w:lineRule="exact"/>
        <w:ind w:firstLine="562" w:firstLineChars="200"/>
        <w:rPr>
          <w:rFonts w:hint="eastAsia" w:ascii="方正黑体_GBK" w:hAnsi="方正仿宋_GBK" w:eastAsia="方正黑体_GBK" w:cs="方正仿宋_GBK"/>
          <w:color w:val="auto"/>
          <w:kern w:val="0"/>
          <w:sz w:val="28"/>
          <w:szCs w:val="28"/>
          <w:lang w:bidi="ar"/>
        </w:rPr>
      </w:pPr>
      <w:r>
        <w:rPr>
          <w:rFonts w:hint="eastAsia" w:ascii="方正黑体_GBK" w:eastAsia="方正黑体_GBK"/>
          <w:b/>
          <w:color w:val="auto"/>
          <w:sz w:val="28"/>
          <w:szCs w:val="28"/>
        </w:rPr>
        <w:t>二、</w:t>
      </w:r>
      <w:r>
        <w:rPr>
          <w:rFonts w:hint="eastAsia" w:ascii="方正黑体_GBK" w:hAnsi="方正仿宋_GBK" w:eastAsia="方正黑体_GBK" w:cs="方正仿宋_GBK"/>
          <w:color w:val="auto"/>
          <w:kern w:val="0"/>
          <w:sz w:val="28"/>
          <w:szCs w:val="28"/>
          <w:lang w:bidi="ar"/>
        </w:rPr>
        <w:t>整体要求</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1、资源制作流程要求，根据采购人提供的需求，中标商在与课程负责人和相关授课教师的沟通协调下进行视频的录制、制作、交付等工作。</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2、资源制作的整体要求，应满足教学内容和教学设计需求；视频制作后期处理方面，每个视频制作均应加上片头和片尾。“说课”动画制作，形成场景类教学内容，使用的语言及字幕为国家通用语言及文字。</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3、资源制作的交付要求，本次申报的所建设的资源以网络版交付甲方，验收合格后签收，并归档，同时采购方保存所有母版文件。</w:t>
      </w:r>
    </w:p>
    <w:p>
      <w:pPr>
        <w:keepNext w:val="0"/>
        <w:keepLines w:val="0"/>
        <w:pageBreakBefore w:val="0"/>
        <w:widowControl w:val="0"/>
        <w:kinsoku/>
        <w:wordWrap/>
        <w:overflowPunct/>
        <w:topLinePunct w:val="0"/>
        <w:autoSpaceDE/>
        <w:autoSpaceDN/>
        <w:bidi w:val="0"/>
        <w:adjustRightInd/>
        <w:spacing w:line="500" w:lineRule="exact"/>
        <w:ind w:firstLine="560" w:firstLineChars="200"/>
        <w:textAlignment w:val="auto"/>
        <w:rPr>
          <w:rFonts w:hint="eastAsia" w:ascii="方正黑体_GBK" w:hAnsi="方正仿宋_GBK" w:eastAsia="方正黑体_GBK" w:cs="方正仿宋_GBK"/>
          <w:color w:val="auto"/>
          <w:kern w:val="0"/>
          <w:sz w:val="28"/>
          <w:szCs w:val="28"/>
          <w:lang w:bidi="ar"/>
        </w:rPr>
      </w:pPr>
      <w:r>
        <w:rPr>
          <w:rFonts w:hint="eastAsia" w:ascii="方正黑体_GBK" w:hAnsi="方正仿宋_GBK" w:eastAsia="方正黑体_GBK" w:cs="方正仿宋_GBK"/>
          <w:color w:val="auto"/>
          <w:kern w:val="0"/>
          <w:sz w:val="28"/>
          <w:szCs w:val="28"/>
          <w:lang w:bidi="ar"/>
        </w:rPr>
        <w:t>三、基本要求</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（一）拍摄人员配备要求</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1、专业摄像师：资深摄像师。</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2、摄像助理：进行拍摄前的白平衡调试、机位的摆放、音频设备的测试。</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3、灯光师：负责灯光的调式。</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4、调色师：使用专业后期调色软件对视频进行后期调色。</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5、特效包装师：针对影视特效制作。</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6、三维/二维动画师：根据课程数字资源需要制作动画。</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7、修改人员：根据采购人要求对课程数字资源进行修改。</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8、美工：页面美化，文字排版。</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9、校对员：负责文字校对，页面审核。</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（二）机位设定及设备</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1、两机位专业高清摄像机，拍摄设备要同型同款保证录制效果的一致性。</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2、主机位用于拍摄教师全景，辅助机位拍摄教师及学生特写、板书、多媒体信息。录音设备要求使用若干个专业级话筒，保证录音质量。</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3、保证拍摄现场的音响效果及灯光效果达到摄影棚级别要求。</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（三）制作要求</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使用一线专业非编软件，对源视频进行最基本的处理（如抠像、垃圾镜头处理、颜色校正、双声道处理）。使用专业的视频编辑系统进行视频降噪、音频降噪。根据编导脚本进行编辑片花和引文中的背景板、引文字体、字体颜色、构图排版、转场特效、基本剪辑、音视频调整与衔接工作。</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2、根据每个课程数字资源的内容提供片头，片头时长根据课程要求而定。</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3、“说课”需要加字幕。</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（四）视频图像质量</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1、稳定性：全片图像同步性能稳定，无失步现象，CTL 同步控制信号必须连续；图像无抖动跳跃，色彩无突变，编辑点处图像稳定。</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2、信噪比：图像信噪比不低于55dB，无明显杂波。</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3、色调：白平衡正确，无明显偏色，多机拍摄的镜头衔接处无明显色差。</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4、成片格式为采用MP4格式，提供片头设计和制作。</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（五）音频要求：音频清楚。</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（六）外挂字幕文件</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1、字幕文件格式：独立的SRT 格式的字幕文件。</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2、字幕的行数要求：每屏只有一行字幕。</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3、字幕的字数要求：每行不超过14 个字。</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4、字幕的位置：保持每屏字幕出现位置一致。</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（七）制作规范及要求</w:t>
      </w:r>
      <w:bookmarkStart w:id="163" w:name="_GoBack"/>
      <w:bookmarkEnd w:id="163"/>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1、使用专业的非线性编辑(1920*50M/S)系统对源视频进行最基本的处理（如剪辑、抠像、颜色校正、双声道处理）。</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2、声音和画面要求同步，无交流声或其他杂音等缺陷，无明显失真、放音过冲、过弱。伴音清晰、饱满、圆润，无失真、噪声杂音干扰、音量忽大忽小现象。解说声与现场声、背景音乐无明显比例失调。</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3、后期特效保证画面美观、色彩真实，符合摄影构图规则。老师视频必须具备人物特写、知识点特效展示、人物中景等场景。场景切换自然流畅，色彩无突变，画面无晃动、抖动、模糊聚焦和镜头频繁拉伸等。</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（八）成片标准</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1、“说课”视频标准：分辨率720P及以上，MP4格式，图像清晰稳定，声音清楚。视频中标注出镜人姓名、单位，课程负责人出镜时间不得少于3分钟。“说课”使用的语言及字幕为国家通用语言及文字。</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2、“课堂实录”视频标准：提供完整的一节课堂实录视频（标注课程内容、课程对象、上课时间以及上课地点，至少40分钟。）                                                           技术要求：分辨率720P及以上，MP4格式，图像清晰稳定，声音清楚。教师必须出镜，视频中需标注教师姓名、单位；要有学生的镜头，并须告知学生可能出现在视频中，此视频会公开。少数民族语言视频须配国家通用语言字幕。</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3、字幕标准：字幕文件格式为SRT，视频中在下方居中位置显示简体中文字幕信息，字幕与教师所讲的内容完全符合，包括表单符号的显示，字幕为一行显示，字幕最多不过20 字。</w:t>
      </w:r>
    </w:p>
    <w:p>
      <w:pPr>
        <w:spacing w:line="560" w:lineRule="exact"/>
        <w:ind w:firstLine="560" w:firstLineChars="200"/>
        <w:rPr>
          <w:rFonts w:ascii="宋体" w:hAnsi="宋体" w:cs="宋体"/>
          <w:color w:val="auto"/>
          <w:sz w:val="28"/>
          <w:szCs w:val="28"/>
        </w:rPr>
      </w:pPr>
    </w:p>
    <w:p>
      <w:pPr>
        <w:spacing w:line="390" w:lineRule="exact"/>
        <w:ind w:firstLine="480" w:firstLineChars="200"/>
        <w:rPr>
          <w:rFonts w:hint="eastAsia" w:ascii="方正仿宋_GBK" w:hAnsi="宋体" w:eastAsia="方正仿宋_GBK" w:cs="Times New Roman"/>
          <w:color w:val="auto"/>
          <w:sz w:val="24"/>
          <w:szCs w:val="24"/>
          <w:lang w:val="en-US" w:eastAsia="zh-CN"/>
        </w:rPr>
      </w:pPr>
    </w:p>
    <w:p>
      <w:pPr>
        <w:spacing w:line="560" w:lineRule="exact"/>
        <w:ind w:firstLine="560" w:firstLineChars="200"/>
        <w:rPr>
          <w:rFonts w:ascii="方正仿宋_GBK" w:hAnsi="宋体" w:eastAsia="方正仿宋_GBK"/>
          <w:color w:val="auto"/>
          <w:sz w:val="28"/>
          <w:szCs w:val="28"/>
        </w:rPr>
      </w:pPr>
    </w:p>
    <w:p>
      <w:pPr>
        <w:snapToGrid w:val="0"/>
        <w:spacing w:line="400" w:lineRule="exact"/>
        <w:ind w:firstLine="480" w:firstLineChars="200"/>
        <w:rPr>
          <w:rFonts w:hint="eastAsia" w:ascii="方正仿宋_GBK" w:hAnsi="宋体" w:eastAsia="方正仿宋_GBK" w:cs="Times New Roman"/>
          <w:color w:val="auto"/>
          <w:sz w:val="24"/>
          <w:szCs w:val="24"/>
        </w:rPr>
      </w:pPr>
    </w:p>
    <w:p>
      <w:pPr>
        <w:snapToGrid w:val="0"/>
        <w:spacing w:line="400" w:lineRule="exact"/>
        <w:ind w:firstLine="480" w:firstLineChars="200"/>
        <w:rPr>
          <w:rFonts w:hint="eastAsia" w:ascii="方正仿宋_GBK" w:hAnsi="宋体" w:eastAsia="方正仿宋_GBK" w:cs="Times New Roman"/>
          <w:color w:val="auto"/>
          <w:sz w:val="24"/>
          <w:szCs w:val="24"/>
        </w:rPr>
      </w:pPr>
    </w:p>
    <w:p>
      <w:pPr>
        <w:snapToGrid w:val="0"/>
        <w:spacing w:line="400" w:lineRule="exact"/>
        <w:ind w:firstLine="480" w:firstLineChars="200"/>
        <w:rPr>
          <w:rFonts w:hint="eastAsia" w:ascii="方正仿宋_GBK" w:hAnsi="宋体" w:eastAsia="方正仿宋_GBK" w:cs="Times New Roman"/>
          <w:color w:val="auto"/>
          <w:sz w:val="24"/>
          <w:szCs w:val="24"/>
        </w:rPr>
      </w:pPr>
    </w:p>
    <w:p>
      <w:pPr>
        <w:rPr>
          <w:rFonts w:hint="eastAsia"/>
          <w:color w:val="auto"/>
        </w:rPr>
      </w:pPr>
      <w:bookmarkStart w:id="67" w:name="_Toc28327"/>
      <w:bookmarkStart w:id="68" w:name="_Toc485108787"/>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tabs>
          <w:tab w:val="left" w:pos="2332"/>
        </w:tabs>
        <w:rPr>
          <w:rFonts w:hint="eastAsia"/>
          <w:color w:val="auto"/>
          <w:lang w:eastAsia="zh-CN"/>
        </w:rPr>
      </w:pPr>
      <w:r>
        <w:rPr>
          <w:rFonts w:hint="eastAsia"/>
          <w:color w:val="auto"/>
          <w:lang w:eastAsia="zh-CN"/>
        </w:rPr>
        <w:tab/>
      </w:r>
    </w:p>
    <w:p>
      <w:pPr>
        <w:tabs>
          <w:tab w:val="left" w:pos="2332"/>
        </w:tabs>
        <w:rPr>
          <w:rFonts w:hint="eastAsia"/>
          <w:color w:val="auto"/>
          <w:lang w:eastAsia="zh-CN"/>
        </w:rPr>
      </w:pPr>
    </w:p>
    <w:p>
      <w:pPr>
        <w:tabs>
          <w:tab w:val="left" w:pos="2332"/>
        </w:tabs>
        <w:rPr>
          <w:rFonts w:hint="eastAsia"/>
          <w:color w:val="auto"/>
          <w:lang w:eastAsia="zh-CN"/>
        </w:rPr>
      </w:pPr>
    </w:p>
    <w:p>
      <w:pPr>
        <w:tabs>
          <w:tab w:val="left" w:pos="2332"/>
        </w:tabs>
        <w:rPr>
          <w:rFonts w:hint="eastAsia"/>
          <w:color w:val="auto"/>
          <w:lang w:eastAsia="zh-CN"/>
        </w:rPr>
      </w:pPr>
    </w:p>
    <w:p>
      <w:pPr>
        <w:tabs>
          <w:tab w:val="left" w:pos="2332"/>
        </w:tabs>
        <w:rPr>
          <w:rFonts w:hint="eastAsia"/>
          <w:color w:val="auto"/>
          <w:lang w:eastAsia="zh-CN"/>
        </w:rPr>
      </w:pPr>
    </w:p>
    <w:p>
      <w:pPr>
        <w:tabs>
          <w:tab w:val="left" w:pos="2332"/>
        </w:tabs>
        <w:rPr>
          <w:rFonts w:hint="eastAsia"/>
          <w:color w:val="auto"/>
          <w:lang w:eastAsia="zh-CN"/>
        </w:rPr>
      </w:pPr>
    </w:p>
    <w:p>
      <w:pPr>
        <w:tabs>
          <w:tab w:val="left" w:pos="2332"/>
        </w:tabs>
        <w:rPr>
          <w:rFonts w:hint="eastAsia"/>
          <w:color w:val="auto"/>
          <w:lang w:eastAsia="zh-CN"/>
        </w:rPr>
      </w:pPr>
    </w:p>
    <w:p>
      <w:pPr>
        <w:tabs>
          <w:tab w:val="left" w:pos="2332"/>
        </w:tabs>
        <w:rPr>
          <w:rFonts w:hint="eastAsia"/>
          <w:color w:val="auto"/>
          <w:lang w:eastAsia="zh-CN"/>
        </w:rPr>
      </w:pPr>
    </w:p>
    <w:p>
      <w:pPr>
        <w:tabs>
          <w:tab w:val="left" w:pos="2332"/>
        </w:tabs>
        <w:rPr>
          <w:rFonts w:hint="eastAsia"/>
          <w:color w:val="auto"/>
          <w:lang w:eastAsia="zh-CN"/>
        </w:rPr>
      </w:pPr>
    </w:p>
    <w:p>
      <w:pPr>
        <w:tabs>
          <w:tab w:val="left" w:pos="2332"/>
        </w:tabs>
        <w:rPr>
          <w:rFonts w:hint="eastAsia"/>
          <w:color w:val="auto"/>
          <w:lang w:eastAsia="zh-CN"/>
        </w:rPr>
      </w:pPr>
    </w:p>
    <w:p>
      <w:pPr>
        <w:tabs>
          <w:tab w:val="left" w:pos="2332"/>
        </w:tabs>
        <w:rPr>
          <w:rFonts w:hint="eastAsia"/>
          <w:color w:val="auto"/>
          <w:lang w:eastAsia="zh-CN"/>
        </w:rPr>
      </w:pPr>
    </w:p>
    <w:p>
      <w:pPr>
        <w:tabs>
          <w:tab w:val="left" w:pos="2332"/>
        </w:tabs>
        <w:rPr>
          <w:rFonts w:hint="eastAsia"/>
          <w:color w:val="auto"/>
          <w:lang w:eastAsia="zh-CN"/>
        </w:rPr>
      </w:pPr>
    </w:p>
    <w:p>
      <w:pPr>
        <w:tabs>
          <w:tab w:val="left" w:pos="2332"/>
        </w:tabs>
        <w:rPr>
          <w:rFonts w:hint="eastAsia"/>
          <w:color w:val="auto"/>
          <w:lang w:eastAsia="zh-CN"/>
        </w:rPr>
      </w:pPr>
    </w:p>
    <w:p>
      <w:pPr>
        <w:tabs>
          <w:tab w:val="left" w:pos="2332"/>
        </w:tabs>
        <w:rPr>
          <w:rFonts w:hint="eastAsia"/>
          <w:color w:val="auto"/>
          <w:lang w:eastAsia="zh-CN"/>
        </w:rPr>
      </w:pPr>
    </w:p>
    <w:p>
      <w:pPr>
        <w:tabs>
          <w:tab w:val="left" w:pos="2332"/>
        </w:tabs>
        <w:rPr>
          <w:rFonts w:hint="eastAsia"/>
          <w:color w:val="auto"/>
          <w:lang w:eastAsia="zh-CN"/>
        </w:rPr>
      </w:pPr>
    </w:p>
    <w:p>
      <w:pPr>
        <w:tabs>
          <w:tab w:val="left" w:pos="2332"/>
        </w:tabs>
        <w:rPr>
          <w:rFonts w:hint="eastAsia"/>
          <w:color w:val="auto"/>
          <w:lang w:eastAsia="zh-CN"/>
        </w:rPr>
      </w:pPr>
    </w:p>
    <w:p>
      <w:pPr>
        <w:tabs>
          <w:tab w:val="left" w:pos="2332"/>
        </w:tabs>
        <w:rPr>
          <w:rFonts w:hint="eastAsia"/>
          <w:color w:val="auto"/>
          <w:lang w:eastAsia="zh-CN"/>
        </w:rPr>
      </w:pPr>
    </w:p>
    <w:p>
      <w:pPr>
        <w:tabs>
          <w:tab w:val="left" w:pos="2332"/>
        </w:tabs>
        <w:rPr>
          <w:rFonts w:hint="eastAsia"/>
          <w:color w:val="auto"/>
          <w:lang w:eastAsia="zh-CN"/>
        </w:rPr>
      </w:pPr>
    </w:p>
    <w:p>
      <w:pPr>
        <w:tabs>
          <w:tab w:val="left" w:pos="2332"/>
        </w:tabs>
        <w:rPr>
          <w:rFonts w:hint="eastAsia"/>
          <w:color w:val="auto"/>
          <w:lang w:eastAsia="zh-CN"/>
        </w:rPr>
      </w:pPr>
    </w:p>
    <w:p>
      <w:pPr>
        <w:tabs>
          <w:tab w:val="left" w:pos="2332"/>
        </w:tabs>
        <w:rPr>
          <w:rFonts w:hint="eastAsia"/>
          <w:color w:val="auto"/>
          <w:lang w:eastAsia="zh-CN"/>
        </w:rPr>
      </w:pPr>
    </w:p>
    <w:p>
      <w:pPr>
        <w:tabs>
          <w:tab w:val="left" w:pos="2332"/>
        </w:tabs>
        <w:rPr>
          <w:rFonts w:hint="eastAsia"/>
          <w:color w:val="auto"/>
          <w:lang w:eastAsia="zh-CN"/>
        </w:rPr>
      </w:pPr>
    </w:p>
    <w:p>
      <w:pPr>
        <w:tabs>
          <w:tab w:val="left" w:pos="2332"/>
        </w:tabs>
        <w:rPr>
          <w:rFonts w:hint="eastAsia"/>
          <w:color w:val="auto"/>
          <w:lang w:eastAsia="zh-CN"/>
        </w:rPr>
      </w:pPr>
    </w:p>
    <w:p>
      <w:pPr>
        <w:tabs>
          <w:tab w:val="left" w:pos="2332"/>
        </w:tabs>
        <w:rPr>
          <w:rFonts w:hint="eastAsia"/>
          <w:color w:val="auto"/>
          <w:lang w:eastAsia="zh-CN"/>
        </w:rPr>
      </w:pPr>
    </w:p>
    <w:p>
      <w:pPr>
        <w:tabs>
          <w:tab w:val="left" w:pos="2332"/>
        </w:tabs>
        <w:rPr>
          <w:rFonts w:hint="eastAsia"/>
          <w:color w:val="auto"/>
          <w:lang w:eastAsia="zh-CN"/>
        </w:rPr>
      </w:pPr>
    </w:p>
    <w:p>
      <w:pPr>
        <w:tabs>
          <w:tab w:val="left" w:pos="2332"/>
        </w:tabs>
        <w:rPr>
          <w:rFonts w:hint="eastAsia"/>
          <w:color w:val="auto"/>
          <w:lang w:eastAsia="zh-CN"/>
        </w:rPr>
      </w:pPr>
    </w:p>
    <w:p>
      <w:pPr>
        <w:tabs>
          <w:tab w:val="left" w:pos="2332"/>
        </w:tabs>
        <w:rPr>
          <w:rFonts w:hint="eastAsia"/>
          <w:color w:val="auto"/>
          <w:lang w:eastAsia="zh-CN"/>
        </w:rPr>
      </w:pPr>
    </w:p>
    <w:p>
      <w:pPr>
        <w:tabs>
          <w:tab w:val="left" w:pos="2332"/>
        </w:tabs>
        <w:rPr>
          <w:rFonts w:hint="eastAsia"/>
          <w:color w:val="auto"/>
          <w:lang w:eastAsia="zh-CN"/>
        </w:rPr>
      </w:pPr>
    </w:p>
    <w:p>
      <w:pPr>
        <w:tabs>
          <w:tab w:val="left" w:pos="2332"/>
        </w:tabs>
        <w:rPr>
          <w:rFonts w:hint="eastAsia"/>
          <w:color w:val="auto"/>
          <w:lang w:eastAsia="zh-CN"/>
        </w:rPr>
      </w:pPr>
    </w:p>
    <w:p>
      <w:pPr>
        <w:tabs>
          <w:tab w:val="left" w:pos="2332"/>
        </w:tabs>
        <w:rPr>
          <w:rFonts w:hint="eastAsia"/>
          <w:color w:val="auto"/>
          <w:lang w:eastAsia="zh-CN"/>
        </w:rPr>
      </w:pPr>
    </w:p>
    <w:p>
      <w:pPr>
        <w:tabs>
          <w:tab w:val="left" w:pos="2332"/>
        </w:tabs>
        <w:rPr>
          <w:rFonts w:hint="eastAsia"/>
          <w:color w:val="auto"/>
          <w:lang w:eastAsia="zh-CN"/>
        </w:rPr>
      </w:pPr>
    </w:p>
    <w:p>
      <w:pPr>
        <w:tabs>
          <w:tab w:val="left" w:pos="2332"/>
        </w:tabs>
        <w:jc w:val="center"/>
        <w:rPr>
          <w:b/>
          <w:color w:val="auto"/>
          <w:sz w:val="44"/>
          <w:szCs w:val="44"/>
        </w:rPr>
      </w:pPr>
      <w:r>
        <w:rPr>
          <w:rFonts w:hint="eastAsia" w:ascii="微软雅黑" w:hAnsi="微软雅黑" w:eastAsia="微软雅黑" w:cs="微软雅黑"/>
          <w:b/>
          <w:color w:val="auto"/>
          <w:sz w:val="36"/>
          <w:szCs w:val="36"/>
        </w:rPr>
        <w:t>第四篇  项目商务需求</w:t>
      </w:r>
      <w:bookmarkEnd w:id="66"/>
      <w:bookmarkEnd w:id="67"/>
      <w:bookmarkEnd w:id="68"/>
      <w:bookmarkStart w:id="69" w:name="_Toc12789059"/>
      <w:bookmarkStart w:id="70" w:name="_Toc11641055"/>
    </w:p>
    <w:p>
      <w:pPr>
        <w:pStyle w:val="3"/>
        <w:spacing w:line="240" w:lineRule="auto"/>
        <w:rPr>
          <w:rFonts w:hint="eastAsia" w:ascii="微软雅黑" w:hAnsi="微软雅黑" w:eastAsia="微软雅黑" w:cs="微软雅黑"/>
          <w:color w:val="auto"/>
          <w:sz w:val="24"/>
          <w:szCs w:val="24"/>
          <w:lang w:val="en-US" w:eastAsia="zh-CN"/>
        </w:rPr>
      </w:pPr>
      <w:bookmarkStart w:id="71" w:name="_Toc11645"/>
      <w:bookmarkStart w:id="72" w:name="_Toc403569795"/>
      <w:bookmarkStart w:id="73" w:name="_Toc7358"/>
      <w:bookmarkStart w:id="74" w:name="_Toc485108793"/>
      <w:r>
        <w:rPr>
          <w:rFonts w:hint="eastAsia" w:ascii="微软雅黑" w:hAnsi="微软雅黑" w:eastAsia="微软雅黑" w:cs="微软雅黑"/>
          <w:color w:val="auto"/>
          <w:sz w:val="24"/>
          <w:szCs w:val="24"/>
          <w:lang w:val="en-US" w:eastAsia="zh-CN"/>
        </w:rPr>
        <w:t>一、商务需求</w:t>
      </w:r>
    </w:p>
    <w:p>
      <w:pPr>
        <w:pStyle w:val="4"/>
        <w:keepNext w:val="0"/>
        <w:keepLines w:val="0"/>
        <w:spacing w:before="0" w:after="0" w:line="520" w:lineRule="exact"/>
        <w:ind w:firstLine="480" w:firstLineChars="200"/>
        <w:rPr>
          <w:rFonts w:hint="eastAsia" w:ascii="方正仿宋_GBK" w:hAnsi="宋体" w:eastAsia="方正仿宋_GBK" w:cs="Times New Roman"/>
          <w:b w:val="0"/>
          <w:color w:val="auto"/>
          <w:kern w:val="2"/>
          <w:sz w:val="24"/>
          <w:szCs w:val="24"/>
          <w:lang w:val="en-US" w:eastAsia="zh-CN" w:bidi="ar-SA"/>
        </w:rPr>
      </w:pPr>
      <w:r>
        <w:rPr>
          <w:rFonts w:hint="eastAsia" w:ascii="方正仿宋_GBK" w:hAnsi="宋体" w:eastAsia="方正仿宋_GBK" w:cs="Times New Roman"/>
          <w:b w:val="0"/>
          <w:color w:val="auto"/>
          <w:kern w:val="2"/>
          <w:sz w:val="24"/>
          <w:szCs w:val="24"/>
          <w:lang w:val="en-US" w:eastAsia="zh-CN" w:bidi="ar-SA"/>
        </w:rPr>
        <w:t>1、交货时间：中标供应商应在2024年5月29日前完成视频录制及制作。</w:t>
      </w:r>
    </w:p>
    <w:p>
      <w:pPr>
        <w:pStyle w:val="4"/>
        <w:keepNext w:val="0"/>
        <w:keepLines w:val="0"/>
        <w:spacing w:before="0" w:after="0" w:line="520" w:lineRule="exact"/>
        <w:ind w:firstLine="480" w:firstLineChars="200"/>
        <w:rPr>
          <w:rFonts w:hint="eastAsia" w:ascii="方正仿宋_GBK" w:hAnsi="宋体" w:eastAsia="方正仿宋_GBK" w:cs="Times New Roman"/>
          <w:b w:val="0"/>
          <w:color w:val="auto"/>
          <w:kern w:val="2"/>
          <w:sz w:val="24"/>
          <w:szCs w:val="24"/>
          <w:lang w:val="en-US" w:eastAsia="zh-CN" w:bidi="ar-SA"/>
        </w:rPr>
      </w:pPr>
      <w:r>
        <w:rPr>
          <w:rFonts w:hint="eastAsia" w:ascii="方正仿宋_GBK" w:hAnsi="宋体" w:eastAsia="方正仿宋_GBK" w:cs="Times New Roman"/>
          <w:b w:val="0"/>
          <w:color w:val="auto"/>
          <w:kern w:val="2"/>
          <w:sz w:val="24"/>
          <w:szCs w:val="24"/>
          <w:lang w:val="en-US" w:eastAsia="zh-CN" w:bidi="ar-SA"/>
        </w:rPr>
        <w:t>2、验收方式：服务方需严格按照合同要求进行视频录制及制作，课程视频交付完成后由采购方统一组织验收；如中标方严重违反合同约定，采购方有权废除合同。</w:t>
      </w:r>
    </w:p>
    <w:p>
      <w:pPr>
        <w:pStyle w:val="4"/>
        <w:keepNext w:val="0"/>
        <w:keepLines w:val="0"/>
        <w:spacing w:before="0" w:after="0" w:line="520" w:lineRule="exact"/>
        <w:ind w:firstLine="480" w:firstLineChars="200"/>
        <w:rPr>
          <w:rFonts w:hint="eastAsia" w:ascii="方正仿宋_GBK" w:hAnsi="宋体" w:eastAsia="方正仿宋_GBK" w:cs="Times New Roman"/>
          <w:b w:val="0"/>
          <w:color w:val="auto"/>
          <w:kern w:val="2"/>
          <w:sz w:val="24"/>
          <w:szCs w:val="24"/>
          <w:lang w:val="en-US" w:eastAsia="zh-CN" w:bidi="ar-SA"/>
        </w:rPr>
      </w:pPr>
      <w:r>
        <w:rPr>
          <w:rFonts w:hint="eastAsia" w:ascii="方正仿宋_GBK" w:hAnsi="宋体" w:eastAsia="方正仿宋_GBK" w:cs="Times New Roman"/>
          <w:b w:val="0"/>
          <w:color w:val="auto"/>
          <w:kern w:val="2"/>
          <w:sz w:val="24"/>
          <w:szCs w:val="24"/>
          <w:lang w:val="en-US" w:eastAsia="zh-CN" w:bidi="ar-SA"/>
        </w:rPr>
        <w:t>3、服务期：（1）服务周期：自签约至项目验收合格；（2）技术服务：如有技术需求，服务方应在1小时内采取相应响应措施；应在24小时进行技术支持。</w:t>
      </w:r>
    </w:p>
    <w:p>
      <w:pPr>
        <w:ind w:firstLine="480" w:firstLineChars="200"/>
        <w:rPr>
          <w:rFonts w:hint="eastAsia" w:ascii="方正仿宋_GBK" w:hAnsi="宋体" w:eastAsia="方正仿宋_GBK" w:cs="Times New Roman"/>
          <w:b w:val="0"/>
          <w:color w:val="auto"/>
          <w:kern w:val="2"/>
          <w:sz w:val="24"/>
          <w:szCs w:val="24"/>
          <w:lang w:val="en-US" w:eastAsia="zh-CN" w:bidi="ar-SA"/>
        </w:rPr>
      </w:pPr>
      <w:r>
        <w:rPr>
          <w:rFonts w:hint="eastAsia" w:ascii="方正仿宋_GBK" w:hAnsi="宋体" w:eastAsia="方正仿宋_GBK" w:cs="Times New Roman"/>
          <w:b w:val="0"/>
          <w:color w:val="auto"/>
          <w:kern w:val="2"/>
          <w:sz w:val="24"/>
          <w:szCs w:val="24"/>
          <w:lang w:val="en-US" w:eastAsia="zh-CN" w:bidi="ar-SA"/>
        </w:rPr>
        <w:t>4、付款方式</w:t>
      </w:r>
      <w:bookmarkStart w:id="75" w:name="_Toc12280"/>
      <w:r>
        <w:rPr>
          <w:rFonts w:hint="eastAsia" w:ascii="方正仿宋_GBK" w:hAnsi="宋体" w:eastAsia="方正仿宋_GBK" w:cs="Times New Roman"/>
          <w:b w:val="0"/>
          <w:color w:val="auto"/>
          <w:kern w:val="2"/>
          <w:sz w:val="24"/>
          <w:szCs w:val="24"/>
          <w:lang w:val="en-US" w:eastAsia="zh-CN" w:bidi="ar-SA"/>
        </w:rPr>
        <w:t>：项目完成后双方共同验收，验收合格后，采购方凭服务方提供的合法发票经审核无误后60日内支付服务费。</w:t>
      </w:r>
      <w:bookmarkEnd w:id="75"/>
    </w:p>
    <w:p>
      <w:pPr>
        <w:ind w:firstLine="560" w:firstLineChars="200"/>
        <w:rPr>
          <w:rFonts w:hint="eastAsia" w:ascii="方正仿宋_GBK" w:hAnsi="宋体" w:eastAsia="方正仿宋_GBK"/>
          <w:b w:val="0"/>
          <w:color w:val="auto"/>
          <w:sz w:val="28"/>
          <w:szCs w:val="28"/>
          <w:lang w:val="en-US" w:eastAsia="zh-CN"/>
        </w:rPr>
      </w:pPr>
    </w:p>
    <w:p>
      <w:pPr>
        <w:tabs>
          <w:tab w:val="left" w:pos="4680"/>
        </w:tabs>
        <w:spacing w:line="580" w:lineRule="exact"/>
        <w:ind w:firstLine="560" w:firstLineChars="200"/>
        <w:rPr>
          <w:rFonts w:hint="eastAsia" w:ascii="仿宋" w:hAnsi="仿宋" w:eastAsia="仿宋" w:cs="MS Shell Dlg"/>
          <w:color w:val="auto"/>
          <w:sz w:val="28"/>
          <w:szCs w:val="28"/>
        </w:rPr>
      </w:pP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val="en-US" w:eastAsia="zh-CN"/>
        </w:rPr>
        <w:t>二</w:t>
      </w:r>
      <w:r>
        <w:rPr>
          <w:rFonts w:hint="eastAsia" w:ascii="微软雅黑" w:hAnsi="微软雅黑" w:eastAsia="微软雅黑" w:cs="微软雅黑"/>
          <w:color w:val="auto"/>
          <w:sz w:val="24"/>
          <w:szCs w:val="24"/>
        </w:rPr>
        <w:t>、知识产权</w:t>
      </w:r>
      <w:bookmarkEnd w:id="71"/>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pPr>
        <w:snapToGrid w:val="0"/>
        <w:spacing w:line="400" w:lineRule="exact"/>
        <w:ind w:firstLine="540"/>
        <w:rPr>
          <w:rFonts w:hint="eastAsia" w:ascii="微软雅黑" w:hAnsi="微软雅黑" w:eastAsia="微软雅黑" w:cs="微软雅黑"/>
          <w:color w:val="auto"/>
          <w:sz w:val="24"/>
          <w:szCs w:val="24"/>
          <w:lang w:val="en-US" w:eastAsia="zh-CN"/>
        </w:rPr>
      </w:pPr>
      <w:r>
        <w:rPr>
          <w:rFonts w:hint="eastAsia" w:ascii="方正仿宋_GBK" w:hAnsi="宋体" w:eastAsia="方正仿宋_GBK" w:cs="Times New Roman"/>
          <w:color w:val="auto"/>
          <w:sz w:val="24"/>
          <w:szCs w:val="24"/>
        </w:rPr>
        <w:t>（注：若涉及软件开发等服务类项目知识产权的，知识产权归采购人所有）。</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三</w:t>
      </w:r>
      <w:r>
        <w:rPr>
          <w:rFonts w:hint="eastAsia" w:ascii="微软雅黑" w:hAnsi="微软雅黑" w:eastAsia="微软雅黑" w:cs="微软雅黑"/>
          <w:color w:val="auto"/>
          <w:sz w:val="24"/>
          <w:szCs w:val="24"/>
        </w:rPr>
        <w:t>、其他</w:t>
      </w:r>
      <w:bookmarkEnd w:id="72"/>
      <w:bookmarkEnd w:id="73"/>
      <w:bookmarkEnd w:id="74"/>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（一）供应商必须在响应文件中对以上条款和服务承诺明确列出，承诺内容必须达到本篇及比选其他条款的要求。</w:t>
      </w:r>
    </w:p>
    <w:p>
      <w:pPr>
        <w:snapToGrid w:val="0"/>
        <w:spacing w:line="400" w:lineRule="exact"/>
        <w:ind w:firstLine="54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（二）其他未尽事宜由供需双方在采购合同中详细约定。</w:t>
      </w:r>
    </w:p>
    <w:p>
      <w:pPr>
        <w:pStyle w:val="2"/>
        <w:jc w:val="center"/>
        <w:rPr>
          <w:color w:val="auto"/>
          <w:sz w:val="44"/>
          <w:szCs w:val="44"/>
        </w:rPr>
      </w:pPr>
      <w:r>
        <w:rPr>
          <w:rFonts w:eastAsia="黑体"/>
          <w:b/>
          <w:color w:val="auto"/>
        </w:rPr>
        <w:br w:type="page"/>
      </w:r>
      <w:bookmarkEnd w:id="69"/>
      <w:bookmarkEnd w:id="70"/>
      <w:bookmarkStart w:id="76" w:name="_Toc485108794"/>
      <w:bookmarkStart w:id="77" w:name="_Toc14840"/>
      <w:bookmarkStart w:id="78" w:name="_Toc403569796"/>
      <w:bookmarkStart w:id="79" w:name="_Toc303945820"/>
      <w:bookmarkStart w:id="80" w:name="_Toc148265480"/>
      <w:r>
        <w:rPr>
          <w:rFonts w:hint="eastAsia" w:ascii="微软雅黑" w:hAnsi="微软雅黑" w:eastAsia="微软雅黑" w:cs="微软雅黑"/>
          <w:b/>
          <w:color w:val="auto"/>
          <w:sz w:val="36"/>
          <w:szCs w:val="36"/>
        </w:rPr>
        <w:t>第五篇  合同草案条款</w:t>
      </w:r>
      <w:bookmarkEnd w:id="76"/>
      <w:bookmarkEnd w:id="77"/>
      <w:bookmarkEnd w:id="78"/>
    </w:p>
    <w:p>
      <w:pPr>
        <w:pStyle w:val="3"/>
        <w:spacing w:line="240" w:lineRule="auto"/>
        <w:rPr>
          <w:rFonts w:hint="eastAsia" w:ascii="微软雅黑" w:hAnsi="微软雅黑" w:eastAsia="微软雅黑" w:cs="微软雅黑"/>
          <w:color w:val="auto"/>
          <w:sz w:val="24"/>
          <w:szCs w:val="24"/>
        </w:rPr>
      </w:pPr>
      <w:bookmarkStart w:id="81" w:name="_Toc54718202"/>
      <w:bookmarkStart w:id="82" w:name="_Toc30815"/>
      <w:r>
        <w:rPr>
          <w:rFonts w:hint="eastAsia" w:ascii="微软雅黑" w:hAnsi="微软雅黑" w:eastAsia="微软雅黑" w:cs="微软雅黑"/>
          <w:color w:val="auto"/>
          <w:sz w:val="24"/>
          <w:szCs w:val="24"/>
        </w:rPr>
        <w:t>一、定义</w:t>
      </w:r>
      <w:bookmarkEnd w:id="81"/>
      <w:bookmarkEnd w:id="82"/>
    </w:p>
    <w:p>
      <w:pPr>
        <w:snapToGrid w:val="0"/>
        <w:spacing w:line="400" w:lineRule="exact"/>
        <w:ind w:firstLine="480" w:firstLineChars="200"/>
        <w:jc w:val="left"/>
        <w:rPr>
          <w:rFonts w:ascii="方正仿宋_GBK" w:hAnsi="宋体" w:eastAsia="方正仿宋_GBK" w:cs="Times New Roman"/>
          <w:color w:val="auto"/>
          <w:sz w:val="24"/>
          <w:szCs w:val="24"/>
        </w:rPr>
      </w:pPr>
      <w:bookmarkStart w:id="83" w:name="_Toc988"/>
      <w:r>
        <w:rPr>
          <w:rFonts w:hint="eastAsia" w:ascii="方正仿宋_GBK" w:hAnsi="宋体" w:eastAsia="方正仿宋_GBK" w:cs="Times New Roman"/>
          <w:color w:val="auto"/>
          <w:sz w:val="24"/>
          <w:szCs w:val="24"/>
        </w:rPr>
        <w:t>（一）甲方（需方）即重庆医科大学附属永川医院。</w:t>
      </w:r>
      <w:bookmarkEnd w:id="83"/>
    </w:p>
    <w:p>
      <w:pPr>
        <w:snapToGrid w:val="0"/>
        <w:spacing w:line="400" w:lineRule="exact"/>
        <w:ind w:firstLine="480" w:firstLineChars="200"/>
        <w:jc w:val="left"/>
        <w:rPr>
          <w:rFonts w:ascii="方正仿宋_GBK" w:hAnsi="宋体" w:eastAsia="方正仿宋_GBK" w:cs="Times New Roman"/>
          <w:color w:val="auto"/>
          <w:sz w:val="24"/>
          <w:szCs w:val="24"/>
        </w:rPr>
      </w:pPr>
      <w:bookmarkStart w:id="84" w:name="_Toc22662"/>
      <w:r>
        <w:rPr>
          <w:rFonts w:hint="eastAsia" w:ascii="方正仿宋_GBK" w:hAnsi="宋体" w:eastAsia="方正仿宋_GBK" w:cs="Times New Roman"/>
          <w:color w:val="auto"/>
          <w:sz w:val="24"/>
          <w:szCs w:val="24"/>
        </w:rPr>
        <w:t>（二）乙方（供方）即成交供应商，是指成交后提供合同服务的自然人、法人及其他组织。</w:t>
      </w:r>
      <w:bookmarkEnd w:id="84"/>
    </w:p>
    <w:p>
      <w:pPr>
        <w:snapToGrid w:val="0"/>
        <w:spacing w:line="400" w:lineRule="exact"/>
        <w:ind w:firstLine="480" w:firstLineChars="200"/>
        <w:jc w:val="left"/>
        <w:rPr>
          <w:rFonts w:ascii="方正仿宋_GBK" w:hAnsi="宋体" w:eastAsia="方正仿宋_GBK" w:cs="Times New Roman"/>
          <w:color w:val="auto"/>
          <w:sz w:val="24"/>
          <w:szCs w:val="24"/>
        </w:rPr>
      </w:pPr>
      <w:bookmarkStart w:id="85" w:name="_Toc30025"/>
      <w:r>
        <w:rPr>
          <w:rFonts w:hint="eastAsia" w:ascii="方正仿宋_GBK" w:hAnsi="宋体" w:eastAsia="方正仿宋_GBK" w:cs="Times New Roman"/>
          <w:color w:val="auto"/>
          <w:sz w:val="24"/>
          <w:szCs w:val="24"/>
        </w:rPr>
        <w:t>（三）合同是指由甲乙双方按照比选文件和响应文件的实质性内容，通过协商一致达成的书面协议。</w:t>
      </w:r>
      <w:bookmarkEnd w:id="85"/>
    </w:p>
    <w:p>
      <w:pPr>
        <w:snapToGrid w:val="0"/>
        <w:spacing w:line="400" w:lineRule="exact"/>
        <w:ind w:firstLine="480" w:firstLineChars="200"/>
        <w:jc w:val="left"/>
        <w:rPr>
          <w:rFonts w:ascii="方正仿宋_GBK" w:hAnsi="宋体" w:eastAsia="方正仿宋_GBK" w:cs="Times New Roman"/>
          <w:color w:val="auto"/>
          <w:sz w:val="24"/>
          <w:szCs w:val="24"/>
        </w:rPr>
      </w:pPr>
      <w:bookmarkStart w:id="86" w:name="_Toc2152"/>
      <w:r>
        <w:rPr>
          <w:rFonts w:hint="eastAsia" w:ascii="方正仿宋_GBK" w:hAnsi="宋体" w:eastAsia="方正仿宋_GBK" w:cs="Times New Roman"/>
          <w:color w:val="auto"/>
          <w:sz w:val="24"/>
          <w:szCs w:val="24"/>
        </w:rPr>
        <w:t>（四）合同价格指以成交价格为依据，在供方全面履行合同义务后，需方应支付给供方的金额。</w:t>
      </w:r>
      <w:bookmarkEnd w:id="86"/>
    </w:p>
    <w:p>
      <w:pPr>
        <w:snapToGrid w:val="0"/>
        <w:spacing w:line="400" w:lineRule="exact"/>
        <w:ind w:firstLine="480" w:firstLineChars="200"/>
        <w:jc w:val="left"/>
        <w:rPr>
          <w:rFonts w:ascii="方正仿宋_GBK" w:hAnsi="宋体" w:eastAsia="方正仿宋_GBK" w:cs="Times New Roman"/>
          <w:color w:val="auto"/>
          <w:sz w:val="24"/>
          <w:szCs w:val="24"/>
        </w:rPr>
      </w:pPr>
      <w:bookmarkStart w:id="87" w:name="_Toc9666"/>
      <w:r>
        <w:rPr>
          <w:rFonts w:hint="eastAsia" w:ascii="方正仿宋_GBK" w:hAnsi="宋体" w:eastAsia="方正仿宋_GBK" w:cs="Times New Roman"/>
          <w:color w:val="auto"/>
          <w:sz w:val="24"/>
          <w:szCs w:val="24"/>
        </w:rPr>
        <w:t>（五）技术资料是指合同</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及其相关的设计、制造、监造、检验、验收等文件（包括图纸、各种文字说明、标准）。</w:t>
      </w:r>
      <w:bookmarkEnd w:id="87"/>
    </w:p>
    <w:p>
      <w:pPr>
        <w:pStyle w:val="3"/>
        <w:spacing w:line="240" w:lineRule="auto"/>
        <w:rPr>
          <w:rFonts w:hint="eastAsia" w:ascii="微软雅黑" w:hAnsi="微软雅黑" w:eastAsia="微软雅黑" w:cs="微软雅黑"/>
          <w:color w:val="auto"/>
          <w:sz w:val="24"/>
          <w:szCs w:val="24"/>
        </w:rPr>
      </w:pPr>
      <w:bookmarkStart w:id="88" w:name="_Toc17879"/>
      <w:bookmarkStart w:id="89" w:name="_Toc54718203"/>
      <w:r>
        <w:rPr>
          <w:rFonts w:hint="eastAsia" w:ascii="微软雅黑" w:hAnsi="微软雅黑" w:eastAsia="微软雅黑" w:cs="微软雅黑"/>
          <w:color w:val="auto"/>
          <w:sz w:val="24"/>
          <w:szCs w:val="24"/>
        </w:rPr>
        <w:t>二、</w:t>
      </w:r>
      <w:r>
        <w:rPr>
          <w:rFonts w:hint="eastAsia" w:ascii="微软雅黑" w:hAnsi="微软雅黑" w:eastAsia="微软雅黑" w:cs="微软雅黑"/>
          <w:color w:val="auto"/>
          <w:sz w:val="24"/>
          <w:szCs w:val="24"/>
          <w:lang w:eastAsia="zh-CN"/>
        </w:rPr>
        <w:t>服务</w:t>
      </w:r>
      <w:r>
        <w:rPr>
          <w:rFonts w:hint="eastAsia" w:ascii="微软雅黑" w:hAnsi="微软雅黑" w:eastAsia="微软雅黑" w:cs="微软雅黑"/>
          <w:color w:val="auto"/>
          <w:sz w:val="24"/>
          <w:szCs w:val="24"/>
        </w:rPr>
        <w:t>内容</w:t>
      </w:r>
      <w:bookmarkEnd w:id="88"/>
      <w:bookmarkEnd w:id="89"/>
    </w:p>
    <w:p>
      <w:pPr>
        <w:snapToGrid w:val="0"/>
        <w:spacing w:line="400" w:lineRule="exact"/>
        <w:ind w:firstLine="480" w:firstLineChars="200"/>
        <w:jc w:val="left"/>
        <w:rPr>
          <w:rFonts w:ascii="方正仿宋_GBK" w:hAnsi="宋体" w:eastAsia="方正仿宋_GBK" w:cs="Times New Roman"/>
          <w:color w:val="auto"/>
          <w:sz w:val="24"/>
          <w:szCs w:val="24"/>
        </w:rPr>
      </w:pPr>
      <w:bookmarkStart w:id="90" w:name="_Toc28967"/>
      <w:r>
        <w:rPr>
          <w:rFonts w:hint="eastAsia" w:ascii="方正仿宋_GBK" w:hAnsi="宋体" w:eastAsia="方正仿宋_GBK" w:cs="Times New Roman"/>
          <w:color w:val="auto"/>
          <w:sz w:val="24"/>
          <w:szCs w:val="24"/>
        </w:rPr>
        <w:t>合同包括以下内容：</w:t>
      </w:r>
      <w:bookmarkEnd w:id="90"/>
      <w:r>
        <w:rPr>
          <w:rFonts w:hint="eastAsia" w:ascii="方正仿宋_GBK" w:hAnsi="宋体" w:eastAsia="方正仿宋_GBK" w:cs="Times New Roman"/>
          <w:color w:val="auto"/>
          <w:sz w:val="24"/>
          <w:szCs w:val="24"/>
          <w:lang w:eastAsia="zh-CN"/>
        </w:rPr>
        <w:t>货物内容、</w:t>
      </w:r>
      <w:r>
        <w:rPr>
          <w:rFonts w:hint="eastAsia" w:ascii="微软雅黑" w:hAnsi="微软雅黑" w:eastAsia="微软雅黑" w:cs="微软雅黑"/>
          <w:b w:val="0"/>
          <w:color w:val="auto"/>
          <w:kern w:val="2"/>
          <w:sz w:val="24"/>
          <w:szCs w:val="24"/>
          <w:lang w:val="en-US" w:eastAsia="zh-CN" w:bidi="ar-SA"/>
        </w:rPr>
        <w:t>服务内容、服务要求、双方权利及义务</w:t>
      </w:r>
      <w:r>
        <w:rPr>
          <w:rFonts w:hint="eastAsia" w:ascii="方正仿宋_GBK" w:hAnsi="宋体" w:eastAsia="方正仿宋_GBK" w:cs="Times New Roman"/>
          <w:color w:val="auto"/>
          <w:sz w:val="24"/>
          <w:szCs w:val="24"/>
        </w:rPr>
        <w:t>等内容。</w:t>
      </w:r>
    </w:p>
    <w:p>
      <w:pPr>
        <w:pStyle w:val="3"/>
        <w:spacing w:line="240" w:lineRule="auto"/>
        <w:rPr>
          <w:rFonts w:hint="eastAsia" w:ascii="微软雅黑" w:hAnsi="微软雅黑" w:eastAsia="微软雅黑" w:cs="微软雅黑"/>
          <w:color w:val="auto"/>
          <w:sz w:val="24"/>
          <w:szCs w:val="24"/>
        </w:rPr>
      </w:pPr>
      <w:bookmarkStart w:id="91" w:name="_Toc8853"/>
      <w:bookmarkStart w:id="92" w:name="_Toc54718204"/>
      <w:r>
        <w:rPr>
          <w:rFonts w:hint="eastAsia" w:ascii="微软雅黑" w:hAnsi="微软雅黑" w:eastAsia="微软雅黑" w:cs="微软雅黑"/>
          <w:color w:val="auto"/>
          <w:sz w:val="24"/>
          <w:szCs w:val="24"/>
        </w:rPr>
        <w:t>三、合同价格</w:t>
      </w:r>
      <w:bookmarkEnd w:id="91"/>
      <w:bookmarkEnd w:id="92"/>
    </w:p>
    <w:p>
      <w:pPr>
        <w:snapToGrid w:val="0"/>
        <w:spacing w:line="400" w:lineRule="exact"/>
        <w:ind w:firstLine="480" w:firstLineChars="200"/>
        <w:jc w:val="left"/>
        <w:rPr>
          <w:rFonts w:ascii="方正仿宋_GBK" w:hAnsi="宋体" w:eastAsia="方正仿宋_GBK" w:cs="Times New Roman"/>
          <w:color w:val="auto"/>
          <w:sz w:val="24"/>
          <w:szCs w:val="24"/>
        </w:rPr>
      </w:pPr>
      <w:bookmarkStart w:id="93" w:name="_Toc25177"/>
      <w:bookmarkStart w:id="94" w:name="_Toc54718205"/>
      <w:r>
        <w:rPr>
          <w:rFonts w:hint="eastAsia" w:ascii="方正仿宋_GBK" w:hAnsi="宋体" w:eastAsia="方正仿宋_GBK" w:cs="Times New Roman"/>
          <w:color w:val="auto"/>
          <w:sz w:val="24"/>
          <w:szCs w:val="24"/>
        </w:rPr>
        <w:t>（一）合同价格即</w:t>
      </w:r>
      <w:r>
        <w:rPr>
          <w:rFonts w:hint="eastAsia" w:ascii="方正仿宋_GBK" w:hAnsi="宋体" w:eastAsia="方正仿宋_GBK" w:cs="Times New Roman"/>
          <w:color w:val="auto"/>
          <w:sz w:val="24"/>
          <w:szCs w:val="24"/>
          <w:lang w:eastAsia="zh-CN"/>
        </w:rPr>
        <w:t>项目总价</w:t>
      </w:r>
      <w:r>
        <w:rPr>
          <w:rFonts w:hint="eastAsia" w:ascii="方正仿宋_GBK" w:hAnsi="宋体" w:eastAsia="方正仿宋_GBK" w:cs="Times New Roman"/>
          <w:color w:val="auto"/>
          <w:sz w:val="24"/>
          <w:szCs w:val="24"/>
        </w:rPr>
        <w:t>。</w:t>
      </w:r>
      <w:bookmarkEnd w:id="93"/>
    </w:p>
    <w:p>
      <w:pPr>
        <w:snapToGrid w:val="0"/>
        <w:spacing w:line="400" w:lineRule="exact"/>
        <w:ind w:firstLine="480" w:firstLineChars="200"/>
        <w:jc w:val="left"/>
        <w:rPr>
          <w:rFonts w:ascii="方正仿宋_GBK" w:hAnsi="宋体" w:eastAsia="方正仿宋_GBK" w:cs="Times New Roman"/>
          <w:color w:val="auto"/>
          <w:sz w:val="24"/>
          <w:szCs w:val="24"/>
        </w:rPr>
      </w:pPr>
      <w:bookmarkStart w:id="95" w:name="_Toc3890"/>
      <w:r>
        <w:rPr>
          <w:rFonts w:hint="eastAsia" w:ascii="方正仿宋_GBK" w:hAnsi="宋体" w:eastAsia="方正仿宋_GBK" w:cs="Times New Roman"/>
          <w:color w:val="auto"/>
          <w:sz w:val="24"/>
          <w:szCs w:val="24"/>
        </w:rPr>
        <w:t>（二）合同价格</w:t>
      </w:r>
      <w:r>
        <w:rPr>
          <w:rFonts w:hint="eastAsia" w:ascii="方正仿宋_GBK" w:hAnsi="宋体" w:eastAsia="方正仿宋_GBK" w:cs="宋体"/>
          <w:color w:val="auto"/>
          <w:kern w:val="0"/>
          <w:sz w:val="24"/>
          <w:szCs w:val="24"/>
        </w:rPr>
        <w:t>包含但不限于</w:t>
      </w:r>
      <w:r>
        <w:rPr>
          <w:rFonts w:hint="eastAsia" w:ascii="方正仿宋_GBK" w:hAnsi="宋体" w:eastAsia="方正仿宋_GBK" w:cs="宋体"/>
          <w:color w:val="auto"/>
          <w:kern w:val="0"/>
          <w:sz w:val="24"/>
          <w:szCs w:val="24"/>
          <w:lang w:eastAsia="zh-CN"/>
        </w:rPr>
        <w:t>拆旧费、</w:t>
      </w:r>
      <w:r>
        <w:rPr>
          <w:rFonts w:hint="eastAsia" w:ascii="方正仿宋_GBK" w:hAnsi="宋体" w:eastAsia="方正仿宋_GBK" w:cs="宋体"/>
          <w:color w:val="auto"/>
          <w:kern w:val="0"/>
          <w:sz w:val="24"/>
          <w:szCs w:val="24"/>
        </w:rPr>
        <w:t>货款、税费、运输费、保险费、安装费、调试费等各项费用</w:t>
      </w:r>
      <w:r>
        <w:rPr>
          <w:rFonts w:hint="eastAsia" w:ascii="方正仿宋_GBK" w:hAnsi="宋体" w:eastAsia="方正仿宋_GBK" w:cs="宋体"/>
          <w:color w:val="auto"/>
          <w:kern w:val="0"/>
          <w:sz w:val="24"/>
          <w:szCs w:val="24"/>
          <w:lang w:eastAsia="zh-CN"/>
        </w:rPr>
        <w:t>，</w:t>
      </w:r>
      <w:r>
        <w:rPr>
          <w:rFonts w:hint="eastAsia" w:ascii="方正仿宋_GBK" w:hAnsi="宋体" w:eastAsia="方正仿宋_GBK" w:cs="Times New Roman"/>
          <w:color w:val="auto"/>
          <w:sz w:val="24"/>
          <w:szCs w:val="24"/>
        </w:rPr>
        <w:t>所有税费由乙方负担。</w:t>
      </w:r>
      <w:bookmarkEnd w:id="95"/>
    </w:p>
    <w:p>
      <w:pPr>
        <w:pStyle w:val="3"/>
        <w:spacing w:line="240" w:lineRule="auto"/>
        <w:rPr>
          <w:rFonts w:hint="eastAsia" w:ascii="微软雅黑" w:hAnsi="微软雅黑" w:eastAsia="微软雅黑" w:cs="微软雅黑"/>
          <w:color w:val="auto"/>
          <w:sz w:val="24"/>
          <w:szCs w:val="24"/>
        </w:rPr>
      </w:pPr>
      <w:bookmarkStart w:id="96" w:name="_Toc24410"/>
      <w:r>
        <w:rPr>
          <w:rFonts w:hint="eastAsia" w:ascii="微软雅黑" w:hAnsi="微软雅黑" w:eastAsia="微软雅黑" w:cs="微软雅黑"/>
          <w:color w:val="auto"/>
          <w:sz w:val="24"/>
          <w:szCs w:val="24"/>
        </w:rPr>
        <w:t>四、转包或分包</w:t>
      </w:r>
      <w:bookmarkEnd w:id="94"/>
      <w:bookmarkEnd w:id="96"/>
    </w:p>
    <w:p>
      <w:pPr>
        <w:snapToGrid w:val="0"/>
        <w:spacing w:line="400" w:lineRule="exact"/>
        <w:ind w:firstLine="480" w:firstLineChars="200"/>
        <w:jc w:val="left"/>
        <w:rPr>
          <w:rFonts w:ascii="方正仿宋_GBK" w:hAnsi="宋体" w:eastAsia="方正仿宋_GBK" w:cs="Times New Roman"/>
          <w:color w:val="auto"/>
          <w:sz w:val="24"/>
          <w:szCs w:val="24"/>
        </w:rPr>
      </w:pPr>
      <w:bookmarkStart w:id="97" w:name="_Toc8161"/>
      <w:r>
        <w:rPr>
          <w:rFonts w:hint="eastAsia" w:ascii="方正仿宋_GBK" w:hAnsi="宋体" w:eastAsia="方正仿宋_GBK" w:cs="Times New Roman"/>
          <w:color w:val="auto"/>
          <w:sz w:val="24"/>
          <w:szCs w:val="24"/>
        </w:rPr>
        <w:t>（一）本合同范围的</w:t>
      </w:r>
      <w:r>
        <w:rPr>
          <w:rFonts w:hint="eastAsia" w:ascii="方正仿宋_GBK" w:hAnsi="宋体" w:eastAsia="方正仿宋_GBK" w:cs="Times New Roman"/>
          <w:color w:val="auto"/>
          <w:sz w:val="24"/>
          <w:szCs w:val="24"/>
          <w:lang w:eastAsia="zh-CN"/>
        </w:rPr>
        <w:t>货物及服务</w:t>
      </w:r>
      <w:r>
        <w:rPr>
          <w:rFonts w:hint="eastAsia" w:ascii="方正仿宋_GBK" w:hAnsi="宋体" w:eastAsia="方正仿宋_GBK" w:cs="Times New Roman"/>
          <w:color w:val="auto"/>
          <w:sz w:val="24"/>
          <w:szCs w:val="24"/>
        </w:rPr>
        <w:t>，应由乙方直接供应，不得转让他人供应；</w:t>
      </w:r>
      <w:bookmarkEnd w:id="97"/>
    </w:p>
    <w:p>
      <w:pPr>
        <w:snapToGrid w:val="0"/>
        <w:spacing w:line="400" w:lineRule="exact"/>
        <w:ind w:firstLine="480" w:firstLineChars="200"/>
        <w:jc w:val="left"/>
        <w:rPr>
          <w:rFonts w:ascii="方正仿宋_GBK" w:hAnsi="宋体" w:eastAsia="方正仿宋_GBK" w:cs="Times New Roman"/>
          <w:color w:val="auto"/>
          <w:sz w:val="24"/>
          <w:szCs w:val="24"/>
        </w:rPr>
      </w:pPr>
      <w:bookmarkStart w:id="98" w:name="_Toc26926"/>
      <w:r>
        <w:rPr>
          <w:rFonts w:hint="eastAsia" w:ascii="方正仿宋_GBK" w:hAnsi="宋体" w:eastAsia="方正仿宋_GBK" w:cs="Times New Roman"/>
          <w:color w:val="auto"/>
          <w:sz w:val="24"/>
          <w:szCs w:val="24"/>
        </w:rPr>
        <w:t>（二）非经甲方书面同意，乙方不得将本合同范围的</w:t>
      </w:r>
      <w:r>
        <w:rPr>
          <w:rFonts w:hint="eastAsia" w:ascii="方正仿宋_GBK" w:hAnsi="宋体" w:eastAsia="方正仿宋_GBK" w:cs="Times New Roman"/>
          <w:color w:val="auto"/>
          <w:sz w:val="24"/>
          <w:szCs w:val="24"/>
          <w:lang w:eastAsia="zh-CN"/>
        </w:rPr>
        <w:t>货物及服务</w:t>
      </w:r>
      <w:r>
        <w:rPr>
          <w:rFonts w:hint="eastAsia" w:ascii="方正仿宋_GBK" w:hAnsi="宋体" w:eastAsia="方正仿宋_GBK" w:cs="Times New Roman"/>
          <w:color w:val="auto"/>
          <w:sz w:val="24"/>
          <w:szCs w:val="24"/>
        </w:rPr>
        <w:t>全部或部分分包给他人供应；</w:t>
      </w:r>
      <w:bookmarkEnd w:id="98"/>
    </w:p>
    <w:p>
      <w:pPr>
        <w:snapToGrid w:val="0"/>
        <w:spacing w:line="400" w:lineRule="exact"/>
        <w:ind w:firstLine="480" w:firstLineChars="200"/>
        <w:jc w:val="left"/>
        <w:rPr>
          <w:rFonts w:ascii="方正仿宋_GBK" w:hAnsi="宋体" w:eastAsia="方正仿宋_GBK" w:cs="Times New Roman"/>
          <w:color w:val="auto"/>
          <w:sz w:val="24"/>
          <w:szCs w:val="24"/>
        </w:rPr>
      </w:pPr>
      <w:bookmarkStart w:id="99" w:name="_Toc11245"/>
      <w:r>
        <w:rPr>
          <w:rFonts w:hint="eastAsia" w:ascii="方正仿宋_GBK" w:hAnsi="宋体" w:eastAsia="方正仿宋_GBK" w:cs="Times New Roman"/>
          <w:color w:val="auto"/>
          <w:sz w:val="24"/>
          <w:szCs w:val="24"/>
        </w:rPr>
        <w:t>（三）如有转让和未经甲方同意的分包行为，甲方有权解除合同，没收履约保证金并追究乙方的违约责任。</w:t>
      </w:r>
      <w:bookmarkEnd w:id="99"/>
    </w:p>
    <w:p>
      <w:pPr>
        <w:pStyle w:val="3"/>
        <w:spacing w:line="240" w:lineRule="auto"/>
        <w:rPr>
          <w:rFonts w:hint="eastAsia" w:ascii="微软雅黑" w:hAnsi="微软雅黑" w:eastAsia="微软雅黑" w:cs="微软雅黑"/>
          <w:color w:val="auto"/>
          <w:sz w:val="24"/>
          <w:szCs w:val="24"/>
        </w:rPr>
      </w:pPr>
      <w:bookmarkStart w:id="100" w:name="_Toc2241"/>
      <w:bookmarkStart w:id="101" w:name="_Toc54718206"/>
      <w:r>
        <w:rPr>
          <w:rFonts w:hint="eastAsia" w:ascii="微软雅黑" w:hAnsi="微软雅黑" w:eastAsia="微软雅黑" w:cs="微软雅黑"/>
          <w:color w:val="auto"/>
          <w:sz w:val="24"/>
          <w:szCs w:val="24"/>
        </w:rPr>
        <w:t>五、质量保证及售后服务</w:t>
      </w:r>
      <w:bookmarkEnd w:id="100"/>
      <w:bookmarkEnd w:id="101"/>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lang w:eastAsia="zh-CN"/>
        </w:rPr>
      </w:pPr>
      <w:bookmarkStart w:id="102" w:name="_Toc12985"/>
      <w:bookmarkStart w:id="103" w:name="_Toc23372"/>
      <w:r>
        <w:rPr>
          <w:rFonts w:hint="eastAsia" w:ascii="方正仿宋_GBK" w:hAnsi="宋体" w:eastAsia="方正仿宋_GBK"/>
          <w:color w:val="auto"/>
          <w:sz w:val="24"/>
          <w:szCs w:val="24"/>
          <w:lang w:eastAsia="zh-CN"/>
        </w:rPr>
        <w:t>（一）乙方提供的服务需符合国家相关法律法规，并满足甲方提出的相关要求。</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）如在使用过程中</w:t>
      </w:r>
      <w:r>
        <w:rPr>
          <w:rFonts w:hint="eastAsia" w:ascii="方正仿宋_GBK" w:hAnsi="宋体" w:eastAsia="方正仿宋_GBK"/>
          <w:color w:val="auto"/>
          <w:sz w:val="24"/>
          <w:szCs w:val="24"/>
          <w:lang w:eastAsia="zh-CN"/>
        </w:rPr>
        <w:t>出现争议</w:t>
      </w:r>
      <w:r>
        <w:rPr>
          <w:rFonts w:hint="eastAsia" w:ascii="方正仿宋_GBK" w:hAnsi="宋体" w:eastAsia="方正仿宋_GBK"/>
          <w:color w:val="auto"/>
          <w:sz w:val="24"/>
          <w:szCs w:val="24"/>
        </w:rPr>
        <w:t>问题，乙方应同本项目“第</w:t>
      </w:r>
      <w:r>
        <w:rPr>
          <w:rFonts w:hint="eastAsia" w:ascii="方正仿宋_GBK" w:hAnsi="宋体" w:eastAsia="方正仿宋_GBK"/>
          <w:color w:val="auto"/>
          <w:sz w:val="24"/>
          <w:szCs w:val="24"/>
          <w:lang w:eastAsia="zh-CN"/>
        </w:rPr>
        <w:t>四</w:t>
      </w:r>
      <w:r>
        <w:rPr>
          <w:rFonts w:hint="eastAsia" w:ascii="方正仿宋_GBK" w:hAnsi="宋体" w:eastAsia="方正仿宋_GBK"/>
          <w:color w:val="auto"/>
          <w:sz w:val="24"/>
          <w:szCs w:val="24"/>
        </w:rPr>
        <w:t>篇 项目商务要求”对质量保证及售后服务内容的约定。</w:t>
      </w:r>
      <w:bookmarkEnd w:id="102"/>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合同</w:t>
      </w:r>
      <w:r>
        <w:rPr>
          <w:rFonts w:hint="eastAsia" w:ascii="方正仿宋_GBK" w:hAnsi="宋体" w:eastAsia="方正仿宋_GBK"/>
          <w:color w:val="auto"/>
          <w:sz w:val="24"/>
          <w:szCs w:val="24"/>
        </w:rPr>
        <w:t>期内，</w:t>
      </w:r>
      <w:r>
        <w:rPr>
          <w:rFonts w:hint="eastAsia" w:ascii="方正仿宋_GBK" w:hAnsi="宋体" w:eastAsia="方正仿宋_GBK"/>
          <w:color w:val="auto"/>
          <w:sz w:val="24"/>
          <w:szCs w:val="24"/>
          <w:lang w:eastAsia="zh-CN"/>
        </w:rPr>
        <w:t>在服务过程中出现的</w:t>
      </w:r>
      <w:r>
        <w:rPr>
          <w:rFonts w:hint="eastAsia" w:ascii="方正仿宋_GBK" w:hAnsi="宋体" w:eastAsia="方正仿宋_GBK"/>
          <w:color w:val="auto"/>
          <w:sz w:val="24"/>
          <w:szCs w:val="24"/>
        </w:rPr>
        <w:t>安全问题</w:t>
      </w:r>
      <w:r>
        <w:rPr>
          <w:rFonts w:hint="eastAsia" w:ascii="方正仿宋_GBK" w:hAnsi="宋体" w:eastAsia="方正仿宋_GBK"/>
          <w:color w:val="auto"/>
          <w:sz w:val="24"/>
          <w:szCs w:val="24"/>
          <w:lang w:eastAsia="zh-CN"/>
        </w:rPr>
        <w:t>，</w:t>
      </w:r>
      <w:r>
        <w:rPr>
          <w:rFonts w:hint="eastAsia" w:ascii="方正仿宋_GBK" w:hAnsi="宋体" w:eastAsia="方正仿宋_GBK"/>
          <w:color w:val="auto"/>
          <w:sz w:val="24"/>
          <w:szCs w:val="24"/>
        </w:rPr>
        <w:t>乙方负责处理解决并承担一切费用。</w:t>
      </w:r>
      <w:bookmarkEnd w:id="103"/>
    </w:p>
    <w:p>
      <w:pPr>
        <w:pStyle w:val="3"/>
        <w:spacing w:line="240" w:lineRule="auto"/>
        <w:rPr>
          <w:rFonts w:hint="eastAsia" w:ascii="微软雅黑" w:hAnsi="微软雅黑" w:eastAsia="微软雅黑" w:cs="微软雅黑"/>
          <w:color w:val="auto"/>
          <w:sz w:val="24"/>
          <w:szCs w:val="24"/>
        </w:rPr>
      </w:pPr>
      <w:bookmarkStart w:id="104" w:name="_Toc9053"/>
      <w:bookmarkStart w:id="105" w:name="_Toc54718207"/>
      <w:r>
        <w:rPr>
          <w:rFonts w:hint="eastAsia" w:ascii="微软雅黑" w:hAnsi="微软雅黑" w:eastAsia="微软雅黑" w:cs="微软雅黑"/>
          <w:color w:val="auto"/>
          <w:sz w:val="24"/>
          <w:szCs w:val="24"/>
        </w:rPr>
        <w:t>六、付款</w:t>
      </w:r>
      <w:bookmarkEnd w:id="104"/>
      <w:bookmarkEnd w:id="105"/>
    </w:p>
    <w:p>
      <w:pPr>
        <w:snapToGrid w:val="0"/>
        <w:spacing w:line="400" w:lineRule="exact"/>
        <w:ind w:firstLine="480" w:firstLineChars="200"/>
        <w:jc w:val="left"/>
        <w:rPr>
          <w:rFonts w:ascii="方正仿宋_GBK" w:hAnsi="宋体" w:eastAsia="方正仿宋_GBK" w:cs="Times New Roman"/>
          <w:color w:val="auto"/>
          <w:sz w:val="24"/>
          <w:szCs w:val="24"/>
        </w:rPr>
      </w:pPr>
      <w:bookmarkStart w:id="106" w:name="_Toc23183"/>
      <w:r>
        <w:rPr>
          <w:rFonts w:hint="eastAsia" w:ascii="方正仿宋_GBK" w:hAnsi="宋体" w:eastAsia="方正仿宋_GBK" w:cs="Times New Roman"/>
          <w:color w:val="auto"/>
          <w:sz w:val="24"/>
          <w:szCs w:val="24"/>
        </w:rPr>
        <w:t>（一）本合同使用货币币制如未作特别说明均为人民币。</w:t>
      </w:r>
      <w:bookmarkEnd w:id="106"/>
    </w:p>
    <w:p>
      <w:pPr>
        <w:snapToGrid w:val="0"/>
        <w:spacing w:line="400" w:lineRule="exact"/>
        <w:ind w:firstLine="480" w:firstLineChars="200"/>
        <w:jc w:val="left"/>
        <w:rPr>
          <w:rFonts w:ascii="方正仿宋_GBK" w:hAnsi="宋体" w:eastAsia="方正仿宋_GBK" w:cs="Times New Roman"/>
          <w:color w:val="auto"/>
          <w:sz w:val="24"/>
          <w:szCs w:val="24"/>
        </w:rPr>
      </w:pPr>
      <w:bookmarkStart w:id="107" w:name="_Toc8880"/>
      <w:r>
        <w:rPr>
          <w:rFonts w:hint="eastAsia" w:ascii="方正仿宋_GBK" w:hAnsi="宋体" w:eastAsia="方正仿宋_GBK" w:cs="Times New Roman"/>
          <w:color w:val="auto"/>
          <w:sz w:val="24"/>
          <w:szCs w:val="24"/>
        </w:rPr>
        <w:t>（二）付款方式：银行转账。</w:t>
      </w:r>
      <w:bookmarkEnd w:id="107"/>
    </w:p>
    <w:p>
      <w:pPr>
        <w:snapToGrid w:val="0"/>
        <w:spacing w:line="400" w:lineRule="exact"/>
        <w:ind w:firstLine="480" w:firstLineChars="200"/>
        <w:jc w:val="left"/>
        <w:rPr>
          <w:rFonts w:ascii="方正仿宋_GBK" w:hAnsi="宋体" w:eastAsia="方正仿宋_GBK" w:cs="Times New Roman"/>
          <w:color w:val="auto"/>
          <w:sz w:val="24"/>
          <w:szCs w:val="24"/>
        </w:rPr>
      </w:pPr>
      <w:bookmarkStart w:id="108" w:name="_Toc28037"/>
      <w:r>
        <w:rPr>
          <w:rFonts w:hint="eastAsia" w:ascii="方正仿宋_GBK" w:hAnsi="宋体" w:eastAsia="方正仿宋_GBK" w:cs="Times New Roman"/>
          <w:color w:val="auto"/>
          <w:sz w:val="24"/>
          <w:szCs w:val="24"/>
        </w:rPr>
        <w:t>（三）付款方法：同本项目“第四篇 项目商务要求”中关于付款方式的约定。</w:t>
      </w:r>
      <w:bookmarkEnd w:id="108"/>
    </w:p>
    <w:p>
      <w:pPr>
        <w:pStyle w:val="3"/>
        <w:spacing w:line="240" w:lineRule="auto"/>
        <w:rPr>
          <w:rFonts w:hint="eastAsia" w:ascii="微软雅黑" w:hAnsi="微软雅黑" w:eastAsia="微软雅黑" w:cs="微软雅黑"/>
          <w:color w:val="auto"/>
          <w:sz w:val="24"/>
          <w:szCs w:val="24"/>
        </w:rPr>
      </w:pPr>
      <w:bookmarkStart w:id="109" w:name="_Toc54718211"/>
      <w:bookmarkStart w:id="110" w:name="_Toc11586"/>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、合同争议的解决</w:t>
      </w:r>
      <w:bookmarkEnd w:id="109"/>
      <w:bookmarkEnd w:id="110"/>
    </w:p>
    <w:p>
      <w:pPr>
        <w:snapToGrid w:val="0"/>
        <w:spacing w:line="400" w:lineRule="exact"/>
        <w:ind w:firstLine="480" w:firstLineChars="200"/>
        <w:jc w:val="left"/>
        <w:rPr>
          <w:rFonts w:ascii="方正仿宋_GBK" w:hAnsi="宋体" w:eastAsia="方正仿宋_GBK" w:cs="Times New Roman"/>
          <w:color w:val="auto"/>
          <w:sz w:val="24"/>
          <w:szCs w:val="24"/>
        </w:rPr>
      </w:pPr>
      <w:bookmarkStart w:id="111" w:name="_Toc5382"/>
      <w:r>
        <w:rPr>
          <w:rFonts w:hint="eastAsia" w:ascii="方正仿宋_GBK" w:hAnsi="宋体" w:eastAsia="方正仿宋_GBK" w:cs="Times New Roman"/>
          <w:color w:val="auto"/>
          <w:sz w:val="24"/>
          <w:szCs w:val="24"/>
        </w:rPr>
        <w:t>（一）当事人友好协商达成一致</w:t>
      </w:r>
      <w:bookmarkEnd w:id="111"/>
    </w:p>
    <w:p>
      <w:pPr>
        <w:snapToGrid w:val="0"/>
        <w:spacing w:line="400" w:lineRule="exact"/>
        <w:ind w:firstLine="480" w:firstLineChars="200"/>
        <w:jc w:val="left"/>
        <w:rPr>
          <w:rFonts w:ascii="方正仿宋_GBK" w:hAnsi="宋体" w:eastAsia="方正仿宋_GBK" w:cs="Times New Roman"/>
          <w:color w:val="auto"/>
          <w:sz w:val="24"/>
          <w:szCs w:val="24"/>
        </w:rPr>
      </w:pPr>
      <w:bookmarkStart w:id="112" w:name="_Toc29926"/>
      <w:r>
        <w:rPr>
          <w:rFonts w:hint="eastAsia" w:ascii="方正仿宋_GBK" w:hAnsi="宋体" w:eastAsia="方正仿宋_GBK" w:cs="Times New Roman"/>
          <w:color w:val="auto"/>
          <w:sz w:val="24"/>
          <w:szCs w:val="24"/>
        </w:rPr>
        <w:t>（二）</w:t>
      </w:r>
      <w:bookmarkEnd w:id="112"/>
      <w:r>
        <w:rPr>
          <w:rFonts w:hint="eastAsia" w:ascii="方正仿宋_GBK" w:hAnsi="宋体" w:eastAsia="方正仿宋_GBK"/>
          <w:color w:val="auto"/>
          <w:sz w:val="24"/>
          <w:szCs w:val="24"/>
        </w:rPr>
        <w:t>在60天内当事人协商不能达成协议的，任何一方均可向永川区人民法院起诉。</w:t>
      </w:r>
    </w:p>
    <w:p>
      <w:pPr>
        <w:snapToGrid w:val="0"/>
        <w:spacing w:line="400" w:lineRule="exact"/>
        <w:outlineLvl w:val="1"/>
        <w:rPr>
          <w:rFonts w:hint="eastAsia" w:ascii="方正仿宋_GBK" w:hAnsi="宋体" w:eastAsia="方正仿宋_GBK"/>
          <w:b/>
          <w:bCs/>
          <w:color w:val="auto"/>
          <w:sz w:val="24"/>
          <w:szCs w:val="24"/>
        </w:rPr>
      </w:pPr>
      <w:bookmarkStart w:id="113" w:name="_Toc54718210"/>
      <w:bookmarkStart w:id="114" w:name="_Toc31719"/>
      <w:bookmarkStart w:id="115" w:name="_Toc26580"/>
      <w:bookmarkStart w:id="116" w:name="_Toc54718212"/>
      <w:r>
        <w:rPr>
          <w:rFonts w:hint="eastAsia" w:ascii="方正仿宋_GBK" w:hAnsi="宋体" w:eastAsia="方正仿宋_GBK"/>
          <w:b/>
          <w:bCs/>
          <w:color w:val="auto"/>
          <w:sz w:val="24"/>
          <w:szCs w:val="24"/>
          <w:lang w:val="en-US" w:eastAsia="zh-CN"/>
        </w:rPr>
        <w:t>八</w:t>
      </w:r>
      <w:r>
        <w:rPr>
          <w:rFonts w:hint="eastAsia" w:ascii="方正仿宋_GBK" w:hAnsi="宋体" w:eastAsia="方正仿宋_GBK"/>
          <w:b/>
          <w:bCs/>
          <w:color w:val="auto"/>
          <w:sz w:val="24"/>
          <w:szCs w:val="24"/>
        </w:rPr>
        <w:t>、知识产权</w:t>
      </w:r>
      <w:bookmarkEnd w:id="113"/>
      <w:bookmarkEnd w:id="114"/>
    </w:p>
    <w:p>
      <w:pPr>
        <w:snapToGrid w:val="0"/>
        <w:spacing w:line="400" w:lineRule="exact"/>
        <w:ind w:firstLine="480" w:firstLineChars="200"/>
        <w:rPr>
          <w:rFonts w:hint="eastAsia" w:ascii="方正仿宋_GBK" w:hAnsi="宋体" w:eastAsia="方正仿宋_GBK"/>
          <w:color w:val="auto"/>
          <w:sz w:val="24"/>
          <w:szCs w:val="24"/>
        </w:rPr>
      </w:pPr>
      <w:bookmarkStart w:id="117" w:name="_Toc11938"/>
      <w:r>
        <w:rPr>
          <w:rFonts w:hint="eastAsia" w:ascii="方正仿宋_GBK" w:hAnsi="宋体" w:eastAsia="方正仿宋_GBK"/>
          <w:color w:val="auto"/>
          <w:sz w:val="24"/>
          <w:szCs w:val="24"/>
        </w:rPr>
        <w:t>（一）甲方在中华人民共和国境内使用乙方提供的货物及服务时免受第三方提出的侵犯其专利权或其它知识产权的起诉。如果第三方提出侵权指控，乙方承担由此而引起的一切法律责任和费用。</w:t>
      </w:r>
      <w:bookmarkEnd w:id="117"/>
    </w:p>
    <w:p>
      <w:pPr>
        <w:snapToGrid w:val="0"/>
        <w:spacing w:line="400" w:lineRule="exact"/>
        <w:ind w:firstLine="480" w:firstLineChars="200"/>
        <w:rPr>
          <w:rFonts w:hint="eastAsia" w:ascii="微软雅黑" w:hAnsi="微软雅黑" w:eastAsia="微软雅黑" w:cs="微软雅黑"/>
          <w:color w:val="auto"/>
          <w:sz w:val="24"/>
          <w:szCs w:val="24"/>
          <w:lang w:eastAsia="zh-CN"/>
        </w:rPr>
      </w:pPr>
      <w:bookmarkStart w:id="118" w:name="_Toc17287"/>
      <w:r>
        <w:rPr>
          <w:rFonts w:hint="eastAsia" w:ascii="方正仿宋_GBK" w:hAnsi="宋体" w:eastAsia="方正仿宋_GBK"/>
          <w:color w:val="auto"/>
          <w:sz w:val="24"/>
          <w:szCs w:val="24"/>
        </w:rPr>
        <w:t>（二）若涉及软件开发等服务类项目知识产权的，知识产权归医院所有。</w:t>
      </w:r>
      <w:bookmarkEnd w:id="118"/>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九</w:t>
      </w:r>
      <w:r>
        <w:rPr>
          <w:rFonts w:hint="eastAsia" w:ascii="微软雅黑" w:hAnsi="微软雅黑" w:eastAsia="微软雅黑" w:cs="微软雅黑"/>
          <w:color w:val="auto"/>
          <w:sz w:val="24"/>
          <w:szCs w:val="24"/>
        </w:rPr>
        <w:t>、违约责任</w:t>
      </w:r>
      <w:bookmarkEnd w:id="115"/>
      <w:bookmarkEnd w:id="116"/>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bookmarkStart w:id="119" w:name="_Toc54718213"/>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一</w:t>
      </w:r>
      <w:r>
        <w:rPr>
          <w:rFonts w:hint="eastAsia" w:ascii="方正仿宋_GBK" w:hAnsi="宋体" w:eastAsia="方正仿宋_GBK"/>
          <w:color w:val="auto"/>
          <w:sz w:val="24"/>
          <w:szCs w:val="24"/>
        </w:rPr>
        <w:t>）按《中华人民共和国民法典》有关条款，在合同期内，乙方对</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与合同要求不符承担责任，并且甲方已于规定合同期内提出违约，乙方应按甲方同意的下述一种或多种方法解决违约事宜。</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（三）乙方出现下列情况之一的，甲方有权随时终止合同：</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1.合同有效期内，因政策调整变化、乙方所</w:t>
      </w:r>
      <w:r>
        <w:rPr>
          <w:rFonts w:hint="eastAsia" w:ascii="方正仿宋_GBK" w:hAnsi="宋体" w:eastAsia="方正仿宋_GBK"/>
          <w:color w:val="auto"/>
          <w:sz w:val="24"/>
          <w:szCs w:val="24"/>
          <w:lang w:eastAsia="zh-CN"/>
        </w:rPr>
        <w:t>服务项目不满足相关政策</w:t>
      </w:r>
      <w:r>
        <w:rPr>
          <w:rFonts w:hint="eastAsia" w:ascii="方正仿宋_GBK" w:hAnsi="宋体" w:eastAsia="方正仿宋_GBK"/>
          <w:color w:val="auto"/>
          <w:sz w:val="24"/>
          <w:szCs w:val="24"/>
        </w:rPr>
        <w:t>，甲方有权提前解除或终止本合同，甲方应提前通知乙方，本合同自通知送达之日即解除或终止。</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2.乙方提供虚假书面材料的（如：资质文件、合格证明等）和未遵守《廉洁购销合同》相关条款的；</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3.未经甲方同意，乙方擅自变更公司名称或擅自停止</w:t>
      </w:r>
      <w:r>
        <w:rPr>
          <w:rFonts w:hint="eastAsia" w:ascii="方正仿宋_GBK" w:hAnsi="宋体" w:eastAsia="方正仿宋_GBK"/>
          <w:color w:val="auto"/>
          <w:sz w:val="24"/>
          <w:szCs w:val="24"/>
          <w:lang w:eastAsia="zh-CN"/>
        </w:rPr>
        <w:t>服务的</w:t>
      </w:r>
      <w:r>
        <w:rPr>
          <w:rFonts w:hint="eastAsia" w:ascii="方正仿宋_GBK" w:hAnsi="宋体" w:eastAsia="方正仿宋_GBK"/>
          <w:color w:val="auto"/>
          <w:sz w:val="24"/>
          <w:szCs w:val="24"/>
        </w:rPr>
        <w:t>；</w:t>
      </w:r>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4.未经甲方同意，供货方擅自涨价或停止</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的</w:t>
      </w:r>
      <w:r>
        <w:rPr>
          <w:rFonts w:hint="eastAsia" w:ascii="方正仿宋_GBK" w:hAnsi="宋体" w:eastAsia="方正仿宋_GBK" w:cs="Times New Roman"/>
          <w:color w:val="auto"/>
          <w:sz w:val="24"/>
          <w:szCs w:val="24"/>
        </w:rPr>
        <w:t>。</w:t>
      </w:r>
    </w:p>
    <w:p>
      <w:pPr>
        <w:pStyle w:val="3"/>
        <w:spacing w:line="240" w:lineRule="auto"/>
        <w:rPr>
          <w:rFonts w:hint="eastAsia" w:ascii="微软雅黑" w:hAnsi="微软雅黑" w:eastAsia="微软雅黑" w:cs="微软雅黑"/>
          <w:color w:val="auto"/>
          <w:sz w:val="24"/>
          <w:szCs w:val="24"/>
        </w:rPr>
      </w:pPr>
      <w:bookmarkStart w:id="120" w:name="_Toc16142"/>
      <w:r>
        <w:rPr>
          <w:rFonts w:hint="eastAsia" w:ascii="微软雅黑" w:hAnsi="微软雅黑" w:eastAsia="微软雅黑" w:cs="微软雅黑"/>
          <w:color w:val="auto"/>
          <w:sz w:val="24"/>
          <w:szCs w:val="24"/>
          <w:lang w:eastAsia="zh-CN"/>
        </w:rPr>
        <w:t>十</w:t>
      </w:r>
      <w:r>
        <w:rPr>
          <w:rFonts w:hint="eastAsia" w:ascii="微软雅黑" w:hAnsi="微软雅黑" w:eastAsia="微软雅黑" w:cs="微软雅黑"/>
          <w:color w:val="auto"/>
          <w:sz w:val="24"/>
          <w:szCs w:val="24"/>
        </w:rPr>
        <w:t>、合同生效及其它</w:t>
      </w:r>
      <w:bookmarkEnd w:id="119"/>
      <w:bookmarkEnd w:id="120"/>
    </w:p>
    <w:p>
      <w:pPr>
        <w:snapToGrid w:val="0"/>
        <w:spacing w:line="400" w:lineRule="exact"/>
        <w:ind w:firstLine="480" w:firstLineChars="200"/>
        <w:jc w:val="left"/>
        <w:rPr>
          <w:rFonts w:ascii="方正仿宋_GBK" w:hAnsi="宋体" w:eastAsia="方正仿宋_GBK" w:cs="Times New Roman"/>
          <w:color w:val="auto"/>
          <w:sz w:val="24"/>
          <w:szCs w:val="24"/>
        </w:rPr>
      </w:pPr>
      <w:bookmarkStart w:id="121" w:name="_Toc7071"/>
      <w:r>
        <w:rPr>
          <w:rFonts w:hint="eastAsia" w:ascii="方正仿宋_GBK" w:hAnsi="宋体" w:eastAsia="方正仿宋_GBK" w:cs="Times New Roman"/>
          <w:color w:val="auto"/>
          <w:sz w:val="24"/>
          <w:szCs w:val="24"/>
        </w:rPr>
        <w:t>（一）合同生效及其效力应符合《中华人民共和国民法典》有关规定。</w:t>
      </w:r>
      <w:bookmarkEnd w:id="121"/>
    </w:p>
    <w:p>
      <w:pPr>
        <w:snapToGrid w:val="0"/>
        <w:spacing w:line="400" w:lineRule="exact"/>
        <w:ind w:firstLine="480" w:firstLineChars="200"/>
        <w:jc w:val="left"/>
        <w:rPr>
          <w:rFonts w:ascii="方正仿宋_GBK" w:hAnsi="宋体" w:eastAsia="方正仿宋_GBK" w:cs="Times New Roman"/>
          <w:color w:val="auto"/>
          <w:sz w:val="24"/>
          <w:szCs w:val="24"/>
        </w:rPr>
      </w:pPr>
      <w:bookmarkStart w:id="122" w:name="_Toc26923"/>
      <w:r>
        <w:rPr>
          <w:rFonts w:hint="eastAsia" w:ascii="方正仿宋_GBK" w:hAnsi="宋体" w:eastAsia="方正仿宋_GBK" w:cs="Times New Roman"/>
          <w:color w:val="auto"/>
          <w:sz w:val="24"/>
          <w:szCs w:val="24"/>
        </w:rPr>
        <w:t>（二）合同应经当事人法定代表人或委托代理人签字，加盖双方合同专用章或公章。</w:t>
      </w:r>
      <w:bookmarkEnd w:id="122"/>
    </w:p>
    <w:p>
      <w:pPr>
        <w:snapToGrid w:val="0"/>
        <w:spacing w:line="400" w:lineRule="exact"/>
        <w:ind w:firstLine="480" w:firstLineChars="200"/>
        <w:jc w:val="left"/>
        <w:rPr>
          <w:rFonts w:ascii="方正仿宋_GBK" w:hAnsi="宋体" w:eastAsia="方正仿宋_GBK" w:cs="Times New Roman"/>
          <w:color w:val="auto"/>
          <w:sz w:val="24"/>
          <w:szCs w:val="24"/>
        </w:rPr>
      </w:pPr>
      <w:bookmarkStart w:id="123" w:name="_Toc21580"/>
      <w:r>
        <w:rPr>
          <w:rFonts w:hint="eastAsia" w:ascii="方正仿宋_GBK" w:hAnsi="宋体" w:eastAsia="方正仿宋_GBK" w:cs="Times New Roman"/>
          <w:color w:val="auto"/>
          <w:sz w:val="24"/>
          <w:szCs w:val="24"/>
        </w:rPr>
        <w:t>（三）合同所包括附件，是合同不可分割的一部分，具有同等法法律效力。</w:t>
      </w:r>
      <w:bookmarkEnd w:id="123"/>
    </w:p>
    <w:p>
      <w:pPr>
        <w:snapToGrid w:val="0"/>
        <w:spacing w:line="400" w:lineRule="exact"/>
        <w:ind w:firstLine="480" w:firstLineChars="200"/>
        <w:jc w:val="left"/>
        <w:rPr>
          <w:rFonts w:ascii="方正仿宋_GBK" w:hAnsi="宋体" w:eastAsia="方正仿宋_GBK" w:cs="Times New Roman"/>
          <w:color w:val="auto"/>
          <w:sz w:val="24"/>
          <w:szCs w:val="24"/>
        </w:rPr>
      </w:pPr>
      <w:bookmarkStart w:id="124" w:name="_Toc28233"/>
      <w:r>
        <w:rPr>
          <w:rFonts w:hint="eastAsia" w:ascii="方正仿宋_GBK" w:hAnsi="宋体" w:eastAsia="方正仿宋_GBK" w:cs="Times New Roman"/>
          <w:color w:val="auto"/>
          <w:sz w:val="24"/>
          <w:szCs w:val="24"/>
        </w:rPr>
        <w:t>（四）合同需提供担保的，按《中华人民共和国担保法》规定执行。</w:t>
      </w:r>
      <w:bookmarkEnd w:id="124"/>
    </w:p>
    <w:p>
      <w:pPr>
        <w:snapToGrid w:val="0"/>
        <w:spacing w:line="400" w:lineRule="exact"/>
        <w:ind w:firstLine="480" w:firstLineChars="200"/>
        <w:jc w:val="left"/>
        <w:rPr>
          <w:rFonts w:ascii="方正仿宋_GBK" w:hAnsi="宋体" w:eastAsia="方正仿宋_GBK" w:cs="Times New Roman"/>
          <w:color w:val="auto"/>
          <w:sz w:val="24"/>
          <w:szCs w:val="24"/>
        </w:rPr>
      </w:pPr>
      <w:bookmarkStart w:id="125" w:name="_Toc18983"/>
      <w:r>
        <w:rPr>
          <w:rFonts w:hint="eastAsia" w:ascii="方正仿宋_GBK" w:hAnsi="宋体" w:eastAsia="方正仿宋_GBK" w:cs="Times New Roman"/>
          <w:color w:val="auto"/>
          <w:sz w:val="24"/>
          <w:szCs w:val="24"/>
        </w:rPr>
        <w:t>（五）本合同条件未尽事宜依照《中华人民共和国民法典》，由供需双方共同协商确定。</w:t>
      </w:r>
      <w:bookmarkEnd w:id="125"/>
    </w:p>
    <w:bookmarkEnd w:id="79"/>
    <w:bookmarkEnd w:id="80"/>
    <w:p>
      <w:pPr>
        <w:tabs>
          <w:tab w:val="left" w:pos="9000"/>
        </w:tabs>
        <w:spacing w:line="276" w:lineRule="auto"/>
        <w:jc w:val="both"/>
        <w:rPr>
          <w:rFonts w:ascii="方正仿宋_GBK" w:hAnsi="Times New Roman" w:eastAsia="方正仿宋_GBK" w:cs="Times New Roman"/>
          <w:color w:val="auto"/>
          <w:szCs w:val="21"/>
        </w:rPr>
        <w:sectPr>
          <w:pgSz w:w="11907" w:h="16840"/>
          <w:pgMar w:top="1134" w:right="1191" w:bottom="1134" w:left="1304" w:header="964" w:footer="992" w:gutter="0"/>
          <w:pgNumType w:fmt="decimal"/>
          <w:cols w:space="720" w:num="1"/>
          <w:docGrid w:linePitch="312" w:charSpace="0"/>
        </w:sectPr>
      </w:pPr>
    </w:p>
    <w:p>
      <w:pPr>
        <w:pStyle w:val="2"/>
        <w:jc w:val="center"/>
        <w:rPr>
          <w:rFonts w:hint="eastAsia" w:ascii="微软雅黑" w:hAnsi="微软雅黑" w:eastAsia="微软雅黑" w:cs="微软雅黑"/>
          <w:b/>
          <w:color w:val="auto"/>
          <w:sz w:val="36"/>
          <w:szCs w:val="36"/>
        </w:rPr>
      </w:pPr>
      <w:bookmarkStart w:id="126" w:name="_Hlt41879464"/>
      <w:bookmarkEnd w:id="126"/>
      <w:bookmarkStart w:id="127" w:name="_Toc485108795"/>
      <w:bookmarkStart w:id="128" w:name="_Toc12789072"/>
      <w:bookmarkStart w:id="129" w:name="_Toc13696"/>
      <w:r>
        <w:rPr>
          <w:rFonts w:hint="eastAsia" w:ascii="微软雅黑" w:hAnsi="微软雅黑" w:eastAsia="微软雅黑" w:cs="微软雅黑"/>
          <w:b/>
          <w:color w:val="auto"/>
          <w:sz w:val="36"/>
          <w:szCs w:val="36"/>
        </w:rPr>
        <w:t>第六篇  响应文件格式要求</w:t>
      </w:r>
      <w:bookmarkEnd w:id="127"/>
      <w:bookmarkEnd w:id="128"/>
      <w:bookmarkEnd w:id="129"/>
    </w:p>
    <w:p>
      <w:pPr>
        <w:pStyle w:val="3"/>
        <w:spacing w:line="240" w:lineRule="auto"/>
        <w:rPr>
          <w:rFonts w:hint="eastAsia" w:ascii="微软雅黑" w:hAnsi="微软雅黑" w:eastAsia="微软雅黑" w:cs="微软雅黑"/>
          <w:color w:val="auto"/>
          <w:sz w:val="24"/>
          <w:szCs w:val="24"/>
        </w:rPr>
      </w:pPr>
      <w:bookmarkStart w:id="130" w:name="_Toc27382"/>
      <w:r>
        <w:rPr>
          <w:rFonts w:hint="eastAsia" w:ascii="微软雅黑" w:hAnsi="微软雅黑" w:eastAsia="微软雅黑" w:cs="微软雅黑"/>
          <w:color w:val="auto"/>
          <w:sz w:val="24"/>
          <w:szCs w:val="24"/>
        </w:rPr>
        <w:t>一、经济部分</w:t>
      </w:r>
      <w:bookmarkEnd w:id="130"/>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pStyle w:val="3"/>
        <w:spacing w:line="240" w:lineRule="auto"/>
        <w:rPr>
          <w:rFonts w:hint="eastAsia" w:ascii="微软雅黑" w:hAnsi="微软雅黑" w:eastAsia="微软雅黑" w:cs="微软雅黑"/>
          <w:color w:val="auto"/>
          <w:sz w:val="24"/>
          <w:szCs w:val="24"/>
        </w:rPr>
      </w:pPr>
      <w:bookmarkStart w:id="131" w:name="_Toc6305"/>
      <w:r>
        <w:rPr>
          <w:rFonts w:hint="eastAsia" w:ascii="微软雅黑" w:hAnsi="微软雅黑" w:eastAsia="微软雅黑" w:cs="微软雅黑"/>
          <w:color w:val="auto"/>
          <w:sz w:val="24"/>
          <w:szCs w:val="24"/>
        </w:rPr>
        <w:t>二、服务部分</w:t>
      </w:r>
      <w:bookmarkEnd w:id="131"/>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（一）按照“第三篇  项目服务需求”提供相应资料</w:t>
      </w:r>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（二）服务响应偏离表</w:t>
      </w:r>
    </w:p>
    <w:p>
      <w:pPr>
        <w:pStyle w:val="3"/>
        <w:spacing w:line="240" w:lineRule="auto"/>
        <w:rPr>
          <w:rFonts w:hint="eastAsia" w:ascii="微软雅黑" w:hAnsi="微软雅黑" w:eastAsia="微软雅黑" w:cs="微软雅黑"/>
          <w:color w:val="auto"/>
          <w:sz w:val="24"/>
          <w:szCs w:val="24"/>
        </w:rPr>
      </w:pPr>
      <w:bookmarkStart w:id="132" w:name="_Toc7207"/>
      <w:r>
        <w:rPr>
          <w:rFonts w:hint="eastAsia" w:ascii="微软雅黑" w:hAnsi="微软雅黑" w:eastAsia="微软雅黑" w:cs="微软雅黑"/>
          <w:color w:val="auto"/>
          <w:sz w:val="24"/>
          <w:szCs w:val="24"/>
        </w:rPr>
        <w:t>三、商务部分</w:t>
      </w:r>
      <w:bookmarkEnd w:id="132"/>
    </w:p>
    <w:p>
      <w:pPr>
        <w:snapToGrid w:val="0"/>
        <w:spacing w:line="360" w:lineRule="auto"/>
        <w:ind w:firstLine="480" w:firstLineChars="200"/>
        <w:rPr>
          <w:rFonts w:hint="eastAsia" w:ascii="微软雅黑" w:hAnsi="微软雅黑" w:eastAsia="微软雅黑" w:cs="微软雅黑"/>
          <w:color w:val="auto"/>
          <w:sz w:val="24"/>
          <w:szCs w:val="24"/>
        </w:rPr>
      </w:pPr>
      <w:bookmarkStart w:id="133" w:name="_Toc38358147"/>
      <w:bookmarkStart w:id="134" w:name="OLE_LINK11"/>
      <w:bookmarkStart w:id="135" w:name="OLE_LINK10"/>
      <w:r>
        <w:rPr>
          <w:rFonts w:hint="eastAsia" w:ascii="微软雅黑" w:hAnsi="微软雅黑" w:eastAsia="微软雅黑" w:cs="微软雅黑"/>
          <w:color w:val="auto"/>
          <w:sz w:val="24"/>
          <w:szCs w:val="24"/>
        </w:rPr>
        <w:t>（一）按照“第四篇  项目商务需求”提供相应资料</w:t>
      </w:r>
      <w:bookmarkEnd w:id="133"/>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（二）商务响应偏离表</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w:t>
      </w:r>
    </w:p>
    <w:p>
      <w:pPr>
        <w:pStyle w:val="3"/>
        <w:spacing w:line="240" w:lineRule="auto"/>
        <w:rPr>
          <w:rFonts w:hint="eastAsia" w:ascii="微软雅黑" w:hAnsi="微软雅黑" w:eastAsia="微软雅黑" w:cs="微软雅黑"/>
          <w:color w:val="auto"/>
          <w:sz w:val="24"/>
          <w:szCs w:val="24"/>
        </w:rPr>
      </w:pPr>
      <w:bookmarkStart w:id="136" w:name="_Toc18417"/>
      <w:r>
        <w:rPr>
          <w:rFonts w:hint="eastAsia" w:ascii="微软雅黑" w:hAnsi="微软雅黑" w:eastAsia="微软雅黑" w:cs="微软雅黑"/>
          <w:color w:val="auto"/>
          <w:sz w:val="24"/>
          <w:szCs w:val="24"/>
        </w:rPr>
        <w:t>四、资格条件及其他</w:t>
      </w:r>
      <w:bookmarkEnd w:id="136"/>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（一）营业执照（副本）或事业单位法人证书（副本）复印件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（二）组织机构代码证复印件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说明：供应商按“三证合一”登记制度办理营业执照的，组织机构代码证和税务登记证以供应商所提供的法人营业执照（副本）复印件为准。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（三）法定代表人身份证明书（格式）</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（四）法定代表人授权委托书（格式）</w:t>
      </w:r>
    </w:p>
    <w:p>
      <w:pPr>
        <w:snapToGrid w:val="0"/>
        <w:spacing w:line="400" w:lineRule="exact"/>
        <w:ind w:firstLine="480" w:firstLineChars="200"/>
        <w:rPr>
          <w:rFonts w:ascii="方正仿宋_GBK" w:hAnsi="宋体" w:eastAsia="方正仿宋_GBK" w:cs="Times New Roman"/>
          <w:color w:val="auto"/>
          <w:sz w:val="24"/>
          <w:szCs w:val="24"/>
          <w:highlight w:val="yellow"/>
        </w:rPr>
      </w:pPr>
      <w:r>
        <w:rPr>
          <w:rFonts w:hint="eastAsia" w:ascii="方正仿宋_GBK" w:hAnsi="宋体" w:eastAsia="方正仿宋_GBK" w:cs="Times New Roman"/>
          <w:color w:val="auto"/>
          <w:sz w:val="24"/>
          <w:szCs w:val="24"/>
        </w:rPr>
        <w:t>（五）202</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或202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（六）书面声明（格式）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（七）税务登记证（副本）复印件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说明：供应商按“多证合一”登记制度办理营业执照的，组织机构代码证、税务登记证（副本）和社会保险登记证以供应商所提供的营业执照（副本）复印件为准。</w:t>
      </w:r>
    </w:p>
    <w:p>
      <w:pPr>
        <w:snapToGrid w:val="0"/>
        <w:spacing w:line="400" w:lineRule="exact"/>
        <w:ind w:firstLine="480" w:firstLineChars="200"/>
        <w:rPr>
          <w:rFonts w:ascii="仿宋" w:hAnsi="仿宋" w:eastAsia="仿宋" w:cs="仿宋"/>
          <w:color w:val="auto"/>
          <w:sz w:val="24"/>
          <w:szCs w:val="24"/>
        </w:rPr>
      </w:pPr>
      <w:r>
        <w:rPr>
          <w:rFonts w:hint="eastAsia" w:ascii="方正仿宋_GBK" w:hAnsi="宋体" w:eastAsia="方正仿宋_GBK" w:cs="Times New Roman"/>
          <w:color w:val="auto"/>
          <w:sz w:val="24"/>
          <w:szCs w:val="24"/>
        </w:rPr>
        <w:t>（九）特定资格条件证书或证明文件</w:t>
      </w:r>
      <w:r>
        <w:rPr>
          <w:rFonts w:hint="eastAsia" w:ascii="仿宋" w:hAnsi="仿宋" w:eastAsia="仿宋" w:cs="仿宋"/>
          <w:color w:val="auto"/>
          <w:sz w:val="24"/>
          <w:szCs w:val="24"/>
        </w:rPr>
        <w:t>（如果有）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（十）供应商提供 “信用中国”网站(www.creditchina.gov.cn)、"中国政府采购网"(www.ccgp.gov.cn)等渠道查询供应商信用记录的四张截图：信用中国--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--严重失信主体名单查询</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--政府采购严重违法失信行为记录名单</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--税收违法黑名单</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信用中国</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--失信被执行人</w:t>
      </w:r>
      <w:r>
        <w:rPr>
          <w:rFonts w:hint="eastAsia" w:ascii="方正仿宋_GBK" w:hAnsi="宋体" w:eastAsia="方正仿宋_GBK"/>
          <w:color w:val="auto"/>
          <w:sz w:val="24"/>
          <w:szCs w:val="24"/>
        </w:rPr>
        <w:t>（截图模板见第</w:t>
      </w:r>
      <w:r>
        <w:rPr>
          <w:rFonts w:hint="eastAsia" w:ascii="方正仿宋_GBK" w:hAnsi="宋体" w:eastAsia="方正仿宋_GBK"/>
          <w:color w:val="auto"/>
          <w:sz w:val="24"/>
          <w:szCs w:val="24"/>
          <w:lang w:eastAsia="zh-CN"/>
        </w:rPr>
        <w:t>六</w:t>
      </w:r>
      <w:r>
        <w:rPr>
          <w:rFonts w:hint="eastAsia" w:ascii="方正仿宋_GBK" w:hAnsi="宋体" w:eastAsia="方正仿宋_GBK"/>
          <w:color w:val="auto"/>
          <w:sz w:val="24"/>
          <w:szCs w:val="24"/>
        </w:rPr>
        <w:t>篇后附件模板）。</w:t>
      </w:r>
    </w:p>
    <w:p>
      <w:pPr>
        <w:pStyle w:val="3"/>
        <w:spacing w:line="240" w:lineRule="auto"/>
        <w:rPr>
          <w:rFonts w:hint="eastAsia" w:ascii="微软雅黑" w:hAnsi="微软雅黑" w:eastAsia="微软雅黑" w:cs="微软雅黑"/>
          <w:color w:val="auto"/>
          <w:sz w:val="24"/>
          <w:szCs w:val="24"/>
        </w:rPr>
      </w:pPr>
      <w:bookmarkStart w:id="137" w:name="_Toc19884"/>
      <w:r>
        <w:rPr>
          <w:rFonts w:hint="eastAsia" w:ascii="微软雅黑" w:hAnsi="微软雅黑" w:eastAsia="微软雅黑" w:cs="微软雅黑"/>
          <w:color w:val="auto"/>
          <w:sz w:val="24"/>
          <w:szCs w:val="24"/>
        </w:rPr>
        <w:t>五、其他应提供的资料</w:t>
      </w:r>
      <w:bookmarkEnd w:id="137"/>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（一）其他资料</w:t>
      </w:r>
    </w:p>
    <w:bookmarkEnd w:id="134"/>
    <w:bookmarkEnd w:id="135"/>
    <w:p>
      <w:pPr>
        <w:spacing w:line="44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1.其他与项目有关的资料</w:t>
      </w:r>
    </w:p>
    <w:p>
      <w:pPr>
        <w:snapToGrid w:val="0"/>
        <w:spacing w:line="360" w:lineRule="auto"/>
        <w:rPr>
          <w:rFonts w:ascii="宋体" w:hAnsi="宋体" w:eastAsia="宋体" w:cs="Times New Roman"/>
          <w:color w:val="auto"/>
          <w:sz w:val="24"/>
          <w:szCs w:val="24"/>
          <w:bdr w:val="single" w:color="auto" w:sz="4" w:space="0"/>
        </w:rPr>
        <w:sectPr>
          <w:pgSz w:w="11907" w:h="16840"/>
          <w:pgMar w:top="1134" w:right="1191" w:bottom="1134" w:left="1304" w:header="851" w:footer="992" w:gutter="0"/>
          <w:pgNumType w:fmt="decimal"/>
          <w:cols w:space="720" w:num="1"/>
          <w:docGrid w:linePitch="380" w:charSpace="-5735"/>
        </w:sectPr>
      </w:pPr>
    </w:p>
    <w:p>
      <w:pPr>
        <w:pStyle w:val="180"/>
        <w:numPr>
          <w:ilvl w:val="0"/>
          <w:numId w:val="13"/>
        </w:numPr>
        <w:ind w:firstLineChars="0"/>
        <w:rPr>
          <w:rFonts w:hint="eastAsia"/>
          <w:b/>
          <w:color w:val="auto"/>
        </w:rPr>
      </w:pPr>
      <w:bookmarkStart w:id="138" w:name="_Toc313888360"/>
      <w:bookmarkStart w:id="139" w:name="_Toc313008356"/>
      <w:bookmarkStart w:id="140" w:name="_Toc342913419"/>
      <w:bookmarkStart w:id="141" w:name="_Toc480979018"/>
      <w:bookmarkStart w:id="142" w:name="_Toc485108796"/>
      <w:bookmarkStart w:id="143" w:name="_Toc12789073"/>
      <w:bookmarkStart w:id="144" w:name="_Toc283382454"/>
      <w:r>
        <w:rPr>
          <w:rFonts w:hint="eastAsia"/>
          <w:b/>
          <w:color w:val="auto"/>
        </w:rPr>
        <w:t>经济部分</w:t>
      </w:r>
      <w:bookmarkEnd w:id="138"/>
      <w:bookmarkEnd w:id="139"/>
      <w:bookmarkEnd w:id="140"/>
      <w:bookmarkEnd w:id="141"/>
      <w:bookmarkEnd w:id="142"/>
    </w:p>
    <w:p>
      <w:pPr>
        <w:pStyle w:val="180"/>
        <w:ind w:left="450" w:firstLine="0" w:firstLineChars="0"/>
        <w:rPr>
          <w:b/>
          <w:color w:val="auto"/>
        </w:rPr>
      </w:pPr>
    </w:p>
    <w:bookmarkEnd w:id="143"/>
    <w:bookmarkEnd w:id="144"/>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tabs>
          <w:tab w:val="left" w:pos="6300"/>
        </w:tabs>
        <w:snapToGrid w:val="0"/>
        <w:spacing w:line="480" w:lineRule="exact"/>
        <w:jc w:val="center"/>
        <w:outlineLvl w:val="0"/>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比选报价函</w:t>
      </w:r>
    </w:p>
    <w:p>
      <w:pPr>
        <w:tabs>
          <w:tab w:val="left" w:pos="6300"/>
        </w:tabs>
        <w:snapToGrid w:val="0"/>
        <w:spacing w:line="312" w:lineRule="auto"/>
        <w:rPr>
          <w:rFonts w:ascii="方正仿宋_GBK" w:hAnsi="宋体" w:eastAsia="方正仿宋_GBK" w:cs="Times New Roman"/>
          <w:color w:val="auto"/>
          <w:sz w:val="24"/>
          <w:szCs w:val="24"/>
        </w:rPr>
      </w:pP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4"/>
        </w:rPr>
        <w:t>：</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我方收到____________________________（比选项目名称）的比选文件，经详细研究，决定参加该比选项目的竞争比选。</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1、愿意按照比选文件中的一切要求，提供本项目的技术服务、商务需求，初始报价以</w:t>
      </w:r>
      <w:r>
        <w:rPr>
          <w:rFonts w:hint="eastAsia" w:ascii="方正仿宋_GBK" w:hAnsi="宋体" w:eastAsia="方正仿宋_GBK" w:cs="Times New Roman"/>
          <w:color w:val="auto"/>
          <w:sz w:val="24"/>
          <w:szCs w:val="24"/>
          <w:lang w:eastAsia="zh-CN"/>
        </w:rPr>
        <w:t>（二）明细报价表</w:t>
      </w:r>
      <w:r>
        <w:rPr>
          <w:rFonts w:hint="eastAsia" w:ascii="方正仿宋_GBK" w:hAnsi="宋体" w:eastAsia="方正仿宋_GBK" w:cs="Times New Roman"/>
          <w:color w:val="auto"/>
          <w:sz w:val="24"/>
          <w:szCs w:val="24"/>
        </w:rPr>
        <w:t>为准。</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2、我方现提交的响应文件为：响应文件正本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份，副本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3、我方承诺：本次比选的有效期为90天。</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4、我方完全理解和接受贵方比选文件的一切规定和要求及比选评审办法。</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5、在整个比选过程中，我方若有违规行为，接受按照《中华人民共和国政府采购法》和《比选文件》之规定给予惩罚。</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6、我方若成为成交供应商，将按照最终比选结果签订合同，并且严格履行合同义务。本承诺函将成为合同不可分割的一部分，与合同具有同等的法律效力。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7、我方未为采购项目提供整体设计、规范编制或者项目管理、监理、监测等服务。</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供应商（公章）：</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地址：  </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电话：                           传真：</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网址：                           邮编：</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联系人：</w:t>
      </w:r>
    </w:p>
    <w:p>
      <w:pPr>
        <w:snapToGrid w:val="0"/>
        <w:spacing w:line="360" w:lineRule="auto"/>
        <w:ind w:firstLine="480" w:firstLineChars="200"/>
        <w:rPr>
          <w:rFonts w:ascii="方正仿宋_GBK" w:hAnsi="宋体" w:eastAsia="方正仿宋_GBK" w:cs="Times New Roman"/>
          <w:color w:val="auto"/>
          <w:sz w:val="24"/>
          <w:szCs w:val="24"/>
        </w:rPr>
        <w:sectPr>
          <w:pgSz w:w="11907" w:h="16840"/>
          <w:pgMar w:top="1134" w:right="1191" w:bottom="1134" w:left="1304" w:header="851" w:footer="992" w:gutter="0"/>
          <w:pgNumType w:fmt="decimal"/>
          <w:cols w:space="720" w:num="1"/>
          <w:docGrid w:linePitch="380" w:charSpace="-5735"/>
        </w:sectPr>
      </w:pPr>
      <w:r>
        <w:rPr>
          <w:rFonts w:hint="eastAsia" w:ascii="方正仿宋_GBK" w:hAnsi="宋体" w:eastAsia="方正仿宋_GBK" w:cs="Times New Roman"/>
          <w:color w:val="auto"/>
          <w:sz w:val="24"/>
          <w:szCs w:val="24"/>
        </w:rPr>
        <w:t xml:space="preserve">                               年   月   日</w:t>
      </w:r>
    </w:p>
    <w:p>
      <w:pPr>
        <w:tabs>
          <w:tab w:val="left" w:pos="2895"/>
        </w:tabs>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jc w:val="center"/>
        <w:rPr>
          <w:rFonts w:hint="eastAsia"/>
          <w:color w:val="auto"/>
          <w:sz w:val="28"/>
          <w:szCs w:val="28"/>
        </w:rPr>
      </w:pPr>
      <w:bookmarkStart w:id="145" w:name="_Toc342913420"/>
      <w:bookmarkStart w:id="146" w:name="_Toc480979019"/>
      <w:bookmarkStart w:id="147" w:name="_Toc313008357"/>
      <w:bookmarkStart w:id="148" w:name="_Toc485108797"/>
      <w:bookmarkStart w:id="149" w:name="_Toc313888361"/>
      <w:r>
        <w:rPr>
          <w:rFonts w:hint="eastAsia"/>
          <w:color w:val="auto"/>
          <w:sz w:val="28"/>
          <w:szCs w:val="28"/>
        </w:rPr>
        <w:t>报价表</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5"/>
        <w:gridCol w:w="1907"/>
        <w:gridCol w:w="2463"/>
        <w:gridCol w:w="2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605" w:type="dxa"/>
            <w:noWrap w:val="0"/>
            <w:vAlign w:val="center"/>
          </w:tcPr>
          <w:p>
            <w:pPr>
              <w:jc w:val="center"/>
              <w:rPr>
                <w:rFonts w:hint="eastAsia"/>
                <w:color w:val="auto"/>
                <w:sz w:val="28"/>
                <w:szCs w:val="28"/>
              </w:rPr>
            </w:pPr>
            <w:r>
              <w:rPr>
                <w:rFonts w:hint="eastAsia"/>
                <w:color w:val="auto"/>
                <w:sz w:val="28"/>
                <w:szCs w:val="28"/>
              </w:rPr>
              <w:t>序号</w:t>
            </w:r>
          </w:p>
        </w:tc>
        <w:tc>
          <w:tcPr>
            <w:tcW w:w="1907" w:type="dxa"/>
            <w:noWrap w:val="0"/>
            <w:vAlign w:val="center"/>
          </w:tcPr>
          <w:p>
            <w:pPr>
              <w:jc w:val="center"/>
              <w:rPr>
                <w:rFonts w:hint="eastAsia"/>
                <w:color w:val="auto"/>
                <w:sz w:val="28"/>
                <w:szCs w:val="28"/>
              </w:rPr>
            </w:pPr>
            <w:r>
              <w:rPr>
                <w:rFonts w:hint="eastAsia"/>
                <w:color w:val="auto"/>
                <w:sz w:val="28"/>
                <w:szCs w:val="28"/>
              </w:rPr>
              <w:t>名称</w:t>
            </w:r>
          </w:p>
        </w:tc>
        <w:tc>
          <w:tcPr>
            <w:tcW w:w="2463" w:type="dxa"/>
            <w:noWrap w:val="0"/>
            <w:vAlign w:val="center"/>
          </w:tcPr>
          <w:p>
            <w:pPr>
              <w:jc w:val="center"/>
              <w:rPr>
                <w:rFonts w:hint="eastAsia"/>
                <w:color w:val="auto"/>
                <w:sz w:val="28"/>
                <w:szCs w:val="28"/>
              </w:rPr>
            </w:pPr>
            <w:r>
              <w:rPr>
                <w:rFonts w:hint="eastAsia"/>
                <w:color w:val="auto"/>
                <w:sz w:val="28"/>
                <w:szCs w:val="28"/>
              </w:rPr>
              <w:t>总价（元）</w:t>
            </w:r>
          </w:p>
        </w:tc>
        <w:tc>
          <w:tcPr>
            <w:tcW w:w="2441" w:type="dxa"/>
            <w:noWrap w:val="0"/>
            <w:vAlign w:val="center"/>
          </w:tcPr>
          <w:p>
            <w:pPr>
              <w:jc w:val="center"/>
              <w:rPr>
                <w:rFonts w:hint="eastAsia"/>
                <w:color w:val="auto"/>
                <w:sz w:val="28"/>
                <w:szCs w:val="28"/>
              </w:rPr>
            </w:pPr>
            <w:r>
              <w:rPr>
                <w:rFonts w:hint="eastAsia"/>
                <w:color w:val="auto"/>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1605" w:type="dxa"/>
            <w:noWrap w:val="0"/>
            <w:vAlign w:val="center"/>
          </w:tcPr>
          <w:p>
            <w:pPr>
              <w:jc w:val="center"/>
              <w:rPr>
                <w:rFonts w:hint="eastAsia"/>
                <w:color w:val="auto"/>
                <w:sz w:val="28"/>
                <w:szCs w:val="28"/>
              </w:rPr>
            </w:pPr>
            <w:r>
              <w:rPr>
                <w:rFonts w:hint="eastAsia"/>
                <w:color w:val="auto"/>
                <w:sz w:val="28"/>
                <w:szCs w:val="28"/>
              </w:rPr>
              <w:t>1</w:t>
            </w:r>
          </w:p>
        </w:tc>
        <w:tc>
          <w:tcPr>
            <w:tcW w:w="1907" w:type="dxa"/>
            <w:noWrap w:val="0"/>
            <w:vAlign w:val="center"/>
          </w:tcPr>
          <w:p>
            <w:pPr>
              <w:jc w:val="center"/>
              <w:rPr>
                <w:rFonts w:hint="eastAsia"/>
                <w:color w:val="auto"/>
                <w:sz w:val="28"/>
                <w:szCs w:val="28"/>
              </w:rPr>
            </w:pPr>
            <w:r>
              <w:rPr>
                <w:rFonts w:hint="eastAsia"/>
                <w:color w:val="auto"/>
                <w:sz w:val="28"/>
                <w:szCs w:val="28"/>
              </w:rPr>
              <w:t>服务费</w:t>
            </w:r>
          </w:p>
        </w:tc>
        <w:tc>
          <w:tcPr>
            <w:tcW w:w="2463" w:type="dxa"/>
            <w:noWrap w:val="0"/>
            <w:vAlign w:val="center"/>
          </w:tcPr>
          <w:p>
            <w:pPr>
              <w:jc w:val="center"/>
              <w:rPr>
                <w:rFonts w:hint="eastAsia"/>
                <w:color w:val="auto"/>
                <w:sz w:val="28"/>
                <w:szCs w:val="28"/>
              </w:rPr>
            </w:pPr>
          </w:p>
        </w:tc>
        <w:tc>
          <w:tcPr>
            <w:tcW w:w="2441" w:type="dxa"/>
            <w:noWrap w:val="0"/>
            <w:vAlign w:val="center"/>
          </w:tcPr>
          <w:p>
            <w:pPr>
              <w:jc w:val="center"/>
              <w:rPr>
                <w:rFonts w:hint="eastAsia"/>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1605" w:type="dxa"/>
            <w:noWrap w:val="0"/>
            <w:vAlign w:val="center"/>
          </w:tcPr>
          <w:p>
            <w:pPr>
              <w:jc w:val="center"/>
              <w:rPr>
                <w:rFonts w:hint="eastAsia"/>
                <w:color w:val="auto"/>
                <w:sz w:val="28"/>
                <w:szCs w:val="28"/>
              </w:rPr>
            </w:pPr>
            <w:r>
              <w:rPr>
                <w:rFonts w:hint="eastAsia"/>
                <w:color w:val="auto"/>
                <w:sz w:val="28"/>
                <w:szCs w:val="28"/>
              </w:rPr>
              <w:t>2</w:t>
            </w:r>
          </w:p>
        </w:tc>
        <w:tc>
          <w:tcPr>
            <w:tcW w:w="1907" w:type="dxa"/>
            <w:noWrap w:val="0"/>
            <w:vAlign w:val="center"/>
          </w:tcPr>
          <w:p>
            <w:pPr>
              <w:jc w:val="center"/>
              <w:rPr>
                <w:rFonts w:hint="eastAsia"/>
                <w:color w:val="auto"/>
                <w:sz w:val="28"/>
                <w:szCs w:val="28"/>
              </w:rPr>
            </w:pPr>
            <w:r>
              <w:rPr>
                <w:rFonts w:hint="eastAsia"/>
                <w:color w:val="auto"/>
                <w:sz w:val="28"/>
                <w:szCs w:val="28"/>
              </w:rPr>
              <w:t>工期（天）</w:t>
            </w:r>
          </w:p>
        </w:tc>
        <w:tc>
          <w:tcPr>
            <w:tcW w:w="2463" w:type="dxa"/>
            <w:noWrap w:val="0"/>
            <w:vAlign w:val="center"/>
          </w:tcPr>
          <w:p>
            <w:pPr>
              <w:jc w:val="center"/>
              <w:rPr>
                <w:rFonts w:hint="eastAsia"/>
                <w:color w:val="auto"/>
                <w:sz w:val="28"/>
                <w:szCs w:val="28"/>
              </w:rPr>
            </w:pPr>
          </w:p>
        </w:tc>
        <w:tc>
          <w:tcPr>
            <w:tcW w:w="2441" w:type="dxa"/>
            <w:noWrap w:val="0"/>
            <w:vAlign w:val="center"/>
          </w:tcPr>
          <w:p>
            <w:pPr>
              <w:jc w:val="center"/>
              <w:rPr>
                <w:rFonts w:hint="eastAsia"/>
                <w:color w:val="auto"/>
                <w:sz w:val="28"/>
                <w:szCs w:val="28"/>
              </w:rPr>
            </w:pPr>
          </w:p>
        </w:tc>
      </w:tr>
    </w:tbl>
    <w:p>
      <w:pPr>
        <w:rPr>
          <w:rFonts w:hint="eastAsia"/>
          <w:color w:val="auto"/>
          <w:sz w:val="28"/>
          <w:szCs w:val="28"/>
        </w:rPr>
      </w:pPr>
      <w:r>
        <w:rPr>
          <w:rFonts w:hint="eastAsia"/>
          <w:color w:val="auto"/>
          <w:sz w:val="28"/>
          <w:szCs w:val="28"/>
        </w:rPr>
        <w:t>注：</w:t>
      </w:r>
      <w:r>
        <w:rPr>
          <w:rFonts w:hint="eastAsia"/>
          <w:color w:val="auto"/>
          <w:sz w:val="28"/>
          <w:szCs w:val="28"/>
          <w:lang w:val="en-US" w:eastAsia="zh-CN"/>
        </w:rPr>
        <w:t>本次报价为包干价，包括完成本项目所需的设备费、辅材费、交通费、人工成本费、税费等各项费用。</w:t>
      </w:r>
    </w:p>
    <w:p>
      <w:pPr>
        <w:rPr>
          <w:rFonts w:hint="eastAsia"/>
          <w:b/>
          <w:color w:val="auto"/>
        </w:rPr>
      </w:pPr>
    </w:p>
    <w:p>
      <w:pPr>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pStyle w:val="22"/>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b/>
          <w:color w:val="auto"/>
        </w:rPr>
      </w:pPr>
      <w:r>
        <w:rPr>
          <w:rFonts w:hint="eastAsia"/>
          <w:b/>
          <w:color w:val="auto"/>
        </w:rPr>
        <w:t>二、服务部分</w:t>
      </w:r>
      <w:bookmarkEnd w:id="145"/>
      <w:bookmarkEnd w:id="146"/>
      <w:bookmarkEnd w:id="147"/>
      <w:bookmarkEnd w:id="148"/>
      <w:bookmarkEnd w:id="149"/>
    </w:p>
    <w:p>
      <w:pPr>
        <w:snapToGrid w:val="0"/>
        <w:spacing w:line="360" w:lineRule="auto"/>
        <w:ind w:firstLine="560" w:firstLineChars="200"/>
        <w:rPr>
          <w:rFonts w:ascii="方正仿宋_GBK" w:hAnsi="宋体" w:eastAsia="方正仿宋_GBK" w:cs="Times New Roman"/>
          <w:color w:val="auto"/>
          <w:sz w:val="28"/>
          <w:szCs w:val="28"/>
        </w:rPr>
      </w:pPr>
      <w:r>
        <w:rPr>
          <w:rFonts w:hint="eastAsia" w:ascii="方正仿宋_GBK" w:hAnsi="宋体" w:eastAsia="方正仿宋_GBK" w:cs="Times New Roman"/>
          <w:color w:val="auto"/>
          <w:sz w:val="28"/>
          <w:szCs w:val="28"/>
        </w:rPr>
        <w:t>（一）</w:t>
      </w:r>
      <w:r>
        <w:rPr>
          <w:rFonts w:hint="eastAsia" w:ascii="微软雅黑" w:hAnsi="微软雅黑" w:eastAsia="微软雅黑" w:cs="微软雅黑"/>
          <w:color w:val="auto"/>
          <w:sz w:val="28"/>
          <w:szCs w:val="28"/>
        </w:rPr>
        <w:t>按照“第三篇  项目服务需求”提供相应资料</w:t>
      </w:r>
    </w:p>
    <w:p>
      <w:pPr>
        <w:tabs>
          <w:tab w:val="left" w:pos="6300"/>
        </w:tabs>
        <w:snapToGrid w:val="0"/>
        <w:spacing w:line="500" w:lineRule="exact"/>
        <w:ind w:firstLine="570"/>
        <w:rPr>
          <w:rFonts w:ascii="方正仿宋_GBK" w:hAnsi="宋体" w:eastAsia="方正仿宋_GBK" w:cs="Times New Roman"/>
          <w:color w:val="auto"/>
          <w:sz w:val="24"/>
          <w:szCs w:val="24"/>
        </w:rPr>
      </w:pPr>
      <w:r>
        <w:rPr>
          <w:rFonts w:ascii="方正仿宋_GBK" w:hAnsi="宋体" w:eastAsia="方正仿宋_GBK" w:cs="Times New Roman"/>
          <w:color w:val="auto"/>
          <w:sz w:val="28"/>
          <w:szCs w:val="24"/>
        </w:rPr>
        <w:br w:type="page"/>
      </w:r>
      <w:r>
        <w:rPr>
          <w:rFonts w:hint="eastAsia" w:ascii="方正仿宋_GBK" w:hAnsi="宋体" w:eastAsia="方正仿宋_GBK" w:cs="Times New Roman"/>
          <w:color w:val="auto"/>
          <w:sz w:val="24"/>
          <w:szCs w:val="24"/>
        </w:rPr>
        <w:t>（二）服务响应偏离表</w:t>
      </w:r>
    </w:p>
    <w:p>
      <w:pPr>
        <w:tabs>
          <w:tab w:val="left" w:pos="6300"/>
        </w:tabs>
        <w:snapToGrid w:val="0"/>
        <w:spacing w:line="500" w:lineRule="exact"/>
        <w:ind w:firstLine="480" w:firstLineChars="200"/>
        <w:outlineLvl w:val="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采购需求</w:t>
            </w: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响应情况</w:t>
            </w: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bl>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720" w:firstLineChars="3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.本表即为对本项目“第三篇  项目服务需求”中所列技术要求进行比较和响应；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4.可附相关技术支撑材料。（格式自定）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0"/>
        </w:rPr>
        <w:t>5.</w:t>
      </w:r>
      <w:r>
        <w:rPr>
          <w:rFonts w:hint="eastAsia" w:ascii="方正仿宋_GBK" w:hAnsi="宋体" w:eastAsia="方正仿宋_GBK" w:cs="Times New Roman"/>
          <w:b/>
          <w:bCs/>
          <w:color w:val="auto"/>
          <w:sz w:val="24"/>
          <w:szCs w:val="20"/>
        </w:rPr>
        <w:t>若“响应情况”栏中仅填写“无偏离”或“有偏离”等内容而未作实质性参数描述，该供应商将</w:t>
      </w:r>
      <w:r>
        <w:rPr>
          <w:rFonts w:hint="eastAsia" w:ascii="方正仿宋_GBK" w:hAnsi="宋体" w:eastAsia="方正仿宋_GBK" w:cs="Times New Roman"/>
          <w:b/>
          <w:bCs/>
          <w:color w:val="auto"/>
          <w:sz w:val="24"/>
          <w:szCs w:val="24"/>
        </w:rPr>
        <w:t>失去成为成交供应商的资格，仅保留其合格供应商的身份。</w:t>
      </w:r>
    </w:p>
    <w:p>
      <w:pPr>
        <w:rPr>
          <w:b/>
          <w:color w:val="auto"/>
        </w:rPr>
      </w:pPr>
      <w:r>
        <w:rPr>
          <w:rFonts w:hAnsi="Times New Roman"/>
          <w:color w:val="auto"/>
          <w:sz w:val="32"/>
          <w:szCs w:val="20"/>
        </w:rPr>
        <w:br w:type="page"/>
      </w:r>
      <w:bookmarkStart w:id="150" w:name="_Toc485108798"/>
      <w:bookmarkStart w:id="151" w:name="_Toc313008358"/>
      <w:bookmarkStart w:id="152" w:name="_Toc313888362"/>
      <w:bookmarkStart w:id="153" w:name="_Toc342913421"/>
      <w:bookmarkStart w:id="154" w:name="_Toc480979020"/>
      <w:r>
        <w:rPr>
          <w:rFonts w:hint="eastAsia"/>
          <w:b/>
          <w:color w:val="auto"/>
        </w:rPr>
        <w:t>三、商务部分</w:t>
      </w:r>
      <w:bookmarkEnd w:id="150"/>
      <w:bookmarkEnd w:id="151"/>
      <w:bookmarkEnd w:id="152"/>
      <w:bookmarkEnd w:id="153"/>
      <w:bookmarkEnd w:id="154"/>
    </w:p>
    <w:p>
      <w:pPr>
        <w:spacing w:line="360" w:lineRule="auto"/>
        <w:ind w:firstLine="480" w:firstLineChars="200"/>
        <w:rPr>
          <w:rFonts w:hint="eastAsia" w:ascii="微软雅黑" w:hAnsi="微软雅黑" w:eastAsia="微软雅黑" w:cs="微软雅黑"/>
          <w:color w:val="auto"/>
          <w:sz w:val="28"/>
          <w:szCs w:val="28"/>
        </w:rPr>
      </w:pPr>
      <w:r>
        <w:rPr>
          <w:rFonts w:hint="eastAsia" w:ascii="方正仿宋_GBK" w:hAnsi="宋体" w:eastAsia="方正仿宋_GBK" w:cs="Times New Roman"/>
          <w:color w:val="auto"/>
          <w:sz w:val="24"/>
          <w:szCs w:val="24"/>
        </w:rPr>
        <w:t>（一）</w:t>
      </w:r>
      <w:r>
        <w:rPr>
          <w:rFonts w:hint="eastAsia" w:ascii="微软雅黑" w:hAnsi="微软雅黑" w:eastAsia="微软雅黑" w:cs="微软雅黑"/>
          <w:color w:val="auto"/>
          <w:sz w:val="28"/>
          <w:szCs w:val="28"/>
        </w:rPr>
        <w:t>按照“第四篇  项目商务需求”提供相应资料</w:t>
      </w:r>
    </w:p>
    <w:p>
      <w:pPr>
        <w:snapToGrid w:val="0"/>
        <w:spacing w:line="360" w:lineRule="auto"/>
        <w:ind w:firstLine="562" w:firstLineChars="200"/>
        <w:rPr>
          <w:rFonts w:ascii="方正仿宋_GBK" w:hAnsi="Times New Roman" w:eastAsia="方正仿宋_GBK" w:cs="Times New Roman"/>
          <w:b/>
          <w:color w:val="auto"/>
          <w:sz w:val="28"/>
          <w:szCs w:val="20"/>
        </w:rPr>
        <w:sectPr>
          <w:headerReference r:id="rId9" w:type="default"/>
          <w:pgSz w:w="11907" w:h="16840"/>
          <w:pgMar w:top="1134" w:right="1191" w:bottom="1134" w:left="1304" w:header="851" w:footer="992" w:gutter="0"/>
          <w:pgNumType w:fmt="decimal"/>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bookmarkStart w:id="155" w:name="_Toc283382459"/>
      <w:r>
        <w:rPr>
          <w:rFonts w:hint="eastAsia" w:ascii="方正仿宋_GBK" w:hAnsi="宋体" w:eastAsia="方正仿宋_GBK" w:cs="Times New Roman"/>
          <w:color w:val="auto"/>
          <w:sz w:val="24"/>
          <w:szCs w:val="24"/>
        </w:rPr>
        <w:t>（二）商务响应偏离表</w:t>
      </w:r>
    </w:p>
    <w:p>
      <w:pPr>
        <w:snapToGrid w:val="0"/>
        <w:spacing w:line="360" w:lineRule="auto"/>
        <w:jc w:val="center"/>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商务响应偏离表</w:t>
      </w:r>
    </w:p>
    <w:p>
      <w:pPr>
        <w:snapToGrid w:val="0"/>
        <w:spacing w:line="500" w:lineRule="exact"/>
        <w:ind w:firstLine="48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项目名称：</w:t>
      </w:r>
    </w:p>
    <w:p>
      <w:pPr>
        <w:snapToGrid w:val="0"/>
        <w:spacing w:line="360" w:lineRule="auto"/>
        <w:ind w:firstLine="465"/>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序号</w:t>
            </w: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比选项目需求</w:t>
            </w: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响应情况</w:t>
            </w: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bl>
    <w:p>
      <w:pPr>
        <w:snapToGrid w:val="0"/>
        <w:spacing w:line="360" w:lineRule="auto"/>
        <w:ind w:firstLine="465"/>
        <w:rPr>
          <w:rFonts w:ascii="方正仿宋_GBK" w:hAnsi="宋体" w:eastAsia="方正仿宋_GBK" w:cs="Times New Roman"/>
          <w:color w:val="auto"/>
          <w:sz w:val="24"/>
          <w:szCs w:val="24"/>
        </w:rPr>
      </w:pPr>
    </w:p>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360" w:firstLineChars="1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.本表即为对本项目“第四篇 项目商务需求”中所列服务要求进行比较和响应；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0" w:firstLineChars="200"/>
        <w:textAlignment w:val="auto"/>
        <w:rPr>
          <w:rFonts w:hint="eastAsia" w:ascii="微软雅黑" w:hAnsi="微软雅黑" w:eastAsia="微软雅黑" w:cs="微软雅黑"/>
          <w:b/>
          <w:bCs/>
          <w:color w:val="auto"/>
          <w:sz w:val="24"/>
          <w:szCs w:val="28"/>
        </w:rPr>
      </w:pPr>
      <w:r>
        <w:rPr>
          <w:rFonts w:hint="eastAsia" w:ascii="微软雅黑" w:hAnsi="微软雅黑" w:eastAsia="微软雅黑" w:cs="微软雅黑"/>
          <w:b/>
          <w:bCs/>
          <w:color w:val="auto"/>
          <w:sz w:val="24"/>
          <w:szCs w:val="24"/>
        </w:rPr>
        <w:t>4.</w:t>
      </w:r>
      <w:r>
        <w:rPr>
          <w:rFonts w:hint="eastAsia" w:ascii="微软雅黑" w:hAnsi="微软雅黑" w:eastAsia="微软雅黑" w:cs="微软雅黑"/>
          <w:b/>
          <w:bCs/>
          <w:color w:val="auto"/>
          <w:sz w:val="24"/>
          <w:szCs w:val="28"/>
        </w:rPr>
        <w:t xml:space="preserve"> 若“响应情况”栏中仅填写“无偏离”或“有偏离”等内容而未作实质性参数描述，该供应商将失去成为成交供应商的资格，仅保留其合格供应商的身份。</w:t>
      </w:r>
    </w:p>
    <w:p>
      <w:pPr>
        <w:spacing w:line="360" w:lineRule="auto"/>
        <w:ind w:firstLine="480" w:firstLineChars="200"/>
        <w:rPr>
          <w:rFonts w:hint="eastAsia" w:ascii="方正仿宋_GBK" w:hAnsi="宋体" w:eastAsia="方正仿宋_GBK" w:cs="Times New Roman"/>
          <w:color w:val="auto"/>
          <w:sz w:val="24"/>
          <w:szCs w:val="24"/>
        </w:rPr>
        <w:sectPr>
          <w:headerReference r:id="rId10" w:type="default"/>
          <w:pgSz w:w="11907" w:h="16840"/>
          <w:pgMar w:top="1134" w:right="1191" w:bottom="1134" w:left="1304" w:header="851" w:footer="992" w:gutter="0"/>
          <w:pgNumType w:fmt="decimal"/>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p>
    <w:p>
      <w:pPr>
        <w:spacing w:line="360" w:lineRule="auto"/>
        <w:ind w:firstLine="560" w:firstLineChars="200"/>
        <w:rPr>
          <w:rFonts w:ascii="方正仿宋_GBK" w:hAnsi="宋体" w:eastAsia="方正仿宋_GBK" w:cs="Times New Roman"/>
          <w:color w:val="auto"/>
          <w:sz w:val="24"/>
          <w:szCs w:val="24"/>
        </w:rPr>
      </w:pPr>
      <w:r>
        <w:rPr>
          <w:rFonts w:ascii="Times New Roman" w:hAnsi="Times New Roman" w:eastAsia="宋体" w:cs="Times New Roman"/>
          <w:color w:val="auto"/>
          <w:sz w:val="28"/>
          <w:szCs w:val="20"/>
        </w:rPr>
        <w:br w:type="page"/>
      </w:r>
    </w:p>
    <w:p>
      <w:pPr>
        <w:rPr>
          <w:b/>
          <w:color w:val="auto"/>
        </w:rPr>
      </w:pPr>
      <w:r>
        <w:rPr>
          <w:rFonts w:hint="eastAsia"/>
          <w:b/>
          <w:color w:val="auto"/>
        </w:rPr>
        <w:t>四、资格条件及其他</w:t>
      </w:r>
    </w:p>
    <w:p>
      <w:pPr>
        <w:tabs>
          <w:tab w:val="left" w:pos="6300"/>
        </w:tabs>
        <w:snapToGrid w:val="0"/>
        <w:spacing w:line="500" w:lineRule="exact"/>
        <w:ind w:firstLine="57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（一）</w:t>
      </w:r>
      <w:r>
        <w:rPr>
          <w:rFonts w:hint="eastAsia" w:ascii="方正仿宋_GBK" w:hAnsi="宋体" w:eastAsia="方正仿宋_GBK" w:cs="Times New Roman"/>
          <w:color w:val="auto"/>
          <w:sz w:val="24"/>
          <w:szCs w:val="24"/>
        </w:rPr>
        <w:t>营业执照（</w:t>
      </w:r>
      <w:r>
        <w:rPr>
          <w:rFonts w:hint="eastAsia" w:ascii="微软雅黑" w:hAnsi="微软雅黑" w:eastAsia="微软雅黑" w:cs="微软雅黑"/>
          <w:color w:val="auto"/>
          <w:sz w:val="24"/>
          <w:szCs w:val="24"/>
        </w:rPr>
        <w:t>副本）或事业单位法人证书（副本）复印件或个体工商户营业执照或有效的自然人身份证明或社会团体法人登记证书复印件</w:t>
      </w:r>
    </w:p>
    <w:p>
      <w:pPr>
        <w:keepNext/>
        <w:keepLines/>
        <w:spacing w:line="360" w:lineRule="auto"/>
        <w:outlineLvl w:val="2"/>
        <w:rPr>
          <w:rFonts w:ascii="方正仿宋_GBK" w:hAnsi="宋体" w:eastAsia="方正仿宋_GBK" w:cs="Times New Roman"/>
          <w:color w:val="auto"/>
          <w:sz w:val="28"/>
          <w:szCs w:val="20"/>
        </w:rPr>
      </w:pPr>
      <w:r>
        <w:rPr>
          <w:rFonts w:ascii="方正仿宋_GBK" w:hAnsi="宋体" w:eastAsia="方正仿宋_GBK" w:cs="Times New Roman"/>
          <w:b/>
          <w:color w:val="auto"/>
          <w:sz w:val="24"/>
          <w:szCs w:val="24"/>
        </w:rPr>
        <w:br w:type="page"/>
      </w:r>
      <w:bookmarkEnd w:id="155"/>
      <w:bookmarkStart w:id="156" w:name="_Toc342913422"/>
      <w:bookmarkStart w:id="157" w:name="_Toc313008359"/>
      <w:bookmarkStart w:id="158" w:name="_Toc313888363"/>
    </w:p>
    <w:p>
      <w:pPr>
        <w:snapToGrid w:val="0"/>
        <w:spacing w:line="400" w:lineRule="exact"/>
        <w:ind w:firstLine="56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8"/>
          <w:szCs w:val="20"/>
        </w:rPr>
        <w:t>（二）</w:t>
      </w:r>
      <w:r>
        <w:rPr>
          <w:rFonts w:hint="eastAsia" w:ascii="方正仿宋_GBK" w:hAnsi="宋体" w:eastAsia="方正仿宋_GBK" w:cs="Times New Roman"/>
          <w:color w:val="auto"/>
          <w:sz w:val="24"/>
          <w:szCs w:val="24"/>
        </w:rPr>
        <w:t>组织机构代码证复印件</w:t>
      </w:r>
    </w:p>
    <w:p>
      <w:pPr>
        <w:widowControl/>
        <w:ind w:firstLine="560" w:firstLineChars="200"/>
        <w:jc w:val="left"/>
        <w:rPr>
          <w:rFonts w:ascii="方正仿宋_GBK" w:hAnsi="宋体" w:eastAsia="方正仿宋_GBK" w:cs="Times New Roman"/>
          <w:color w:val="auto"/>
          <w:sz w:val="28"/>
          <w:szCs w:val="20"/>
        </w:rPr>
      </w:pPr>
      <w:r>
        <w:rPr>
          <w:rFonts w:ascii="方正仿宋_GBK" w:hAnsi="宋体" w:eastAsia="方正仿宋_GBK" w:cs="Times New Roman"/>
          <w:color w:val="auto"/>
          <w:sz w:val="28"/>
          <w:szCs w:val="20"/>
        </w:rPr>
        <w:br w:type="page"/>
      </w:r>
      <w:bookmarkEnd w:id="156"/>
      <w:bookmarkEnd w:id="157"/>
      <w:bookmarkEnd w:id="158"/>
      <w:r>
        <w:rPr>
          <w:rFonts w:hint="eastAsia" w:ascii="方正仿宋_GBK" w:hAnsi="宋体" w:eastAsia="方正仿宋_GBK" w:cs="Times New Roman"/>
          <w:color w:val="auto"/>
          <w:sz w:val="28"/>
          <w:szCs w:val="20"/>
        </w:rPr>
        <w:t>（三）法定代表人身份证明书（格式）</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（法定代表人姓名）在</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（供应商名称）任</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（职务名称）职务，是（供应商名称）</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的法定代表人。</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特此证明。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（供应商公章）</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年   月   日</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（附：法定代表人身份证正反面复印件）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p>
    <w:p>
      <w:pPr>
        <w:widowControl/>
        <w:ind w:firstLine="480" w:firstLineChars="200"/>
        <w:jc w:val="left"/>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8"/>
          <w:szCs w:val="20"/>
        </w:rPr>
      </w:pPr>
      <w:r>
        <w:rPr>
          <w:rFonts w:ascii="Times New Roman" w:hAnsi="Times New Roman" w:eastAsia="宋体" w:cs="Times New Roman"/>
          <w:color w:val="auto"/>
          <w:sz w:val="28"/>
          <w:szCs w:val="20"/>
        </w:rPr>
        <w:br w:type="column"/>
      </w:r>
      <w:r>
        <w:rPr>
          <w:rFonts w:hint="eastAsia" w:ascii="方正仿宋_GBK" w:hAnsi="宋体" w:eastAsia="方正仿宋_GBK" w:cs="Times New Roman"/>
          <w:color w:val="auto"/>
          <w:sz w:val="28"/>
          <w:szCs w:val="20"/>
        </w:rPr>
        <w:t>（四）法定代表人授权委托书（格式）</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（供应商法定代表人名称）是</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（供应商名称）的法定代表人，特授权</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（被授权人姓名及身份证代码）代表我单位全权办理上述项目的比选、签约等具体工作，并签署全部有关文件、协议及合同。</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我单位对被授权人的签字负全部责任。</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被授权人：                                 供应商法定代表人：</w:t>
      </w:r>
    </w:p>
    <w:p>
      <w:pPr>
        <w:tabs>
          <w:tab w:val="left" w:pos="6300"/>
        </w:tabs>
        <w:snapToGrid w:val="0"/>
        <w:spacing w:line="500" w:lineRule="exact"/>
        <w:ind w:firstLine="57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（签字或盖章）                                （签字或盖章）</w:t>
      </w:r>
    </w:p>
    <w:p>
      <w:pPr>
        <w:tabs>
          <w:tab w:val="left" w:pos="6300"/>
        </w:tabs>
        <w:snapToGrid w:val="0"/>
        <w:spacing w:line="500" w:lineRule="exact"/>
        <w:ind w:firstLine="570"/>
        <w:rPr>
          <w:rFonts w:ascii="方正仿宋_GBK" w:hAnsi="宋体" w:eastAsia="方正仿宋_GBK" w:cs="Times New Roman"/>
          <w:color w:val="auto"/>
          <w:sz w:val="24"/>
          <w:szCs w:val="28"/>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（附：被授权人身份证正反面复印件）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（供应商公章）</w:t>
      </w: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年   月   日</w:t>
      </w:r>
    </w:p>
    <w:p>
      <w:pPr>
        <w:tabs>
          <w:tab w:val="left" w:pos="6300"/>
        </w:tabs>
        <w:snapToGrid w:val="0"/>
        <w:spacing w:line="500" w:lineRule="exact"/>
        <w:ind w:firstLine="480"/>
        <w:rPr>
          <w:rFonts w:ascii="宋体" w:hAnsi="宋体" w:eastAsia="宋体" w:cs="Times New Roman"/>
          <w:color w:val="auto"/>
          <w:sz w:val="24"/>
          <w:szCs w:val="24"/>
        </w:rPr>
      </w:pPr>
      <w:r>
        <w:rPr>
          <w:rFonts w:ascii="宋体" w:hAnsi="宋体" w:eastAsia="宋体" w:cs="Times New Roman"/>
          <w:color w:val="auto"/>
          <w:sz w:val="28"/>
          <w:szCs w:val="20"/>
        </w:rPr>
        <w:br w:type="column"/>
      </w:r>
      <w:r>
        <w:rPr>
          <w:rFonts w:hint="eastAsia" w:ascii="方正仿宋_GBK" w:hAnsi="宋体" w:eastAsia="方正仿宋_GBK" w:cs="Times New Roman"/>
          <w:color w:val="auto"/>
          <w:sz w:val="28"/>
          <w:szCs w:val="20"/>
        </w:rPr>
        <w:t>（五）</w:t>
      </w:r>
      <w:r>
        <w:rPr>
          <w:rFonts w:hint="eastAsia" w:ascii="方正仿宋_GBK" w:hAnsi="宋体" w:eastAsia="方正仿宋_GBK" w:cs="Times New Roman"/>
          <w:color w:val="auto"/>
          <w:sz w:val="24"/>
          <w:szCs w:val="24"/>
        </w:rPr>
        <w:t>202</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或202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rPr>
          <w:rFonts w:hint="eastAsia"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8"/>
          <w:szCs w:val="20"/>
        </w:rPr>
        <w:t>（六）书面声明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spacing w:line="440" w:lineRule="exact"/>
        <w:ind w:firstLine="480" w:firstLineChars="2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u w:val="single"/>
        </w:rPr>
        <w:t xml:space="preserve">                       </w:t>
      </w:r>
      <w:r>
        <w:rPr>
          <w:rFonts w:hint="eastAsia" w:ascii="方正仿宋_GBK" w:hAnsi="宋体" w:eastAsia="方正仿宋_GBK" w:cs="Times New Roman"/>
          <w:color w:val="auto"/>
          <w:sz w:val="24"/>
          <w:szCs w:val="28"/>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tabs>
          <w:tab w:val="left" w:pos="6300"/>
        </w:tabs>
        <w:snapToGrid w:val="0"/>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特此声明。</w:t>
      </w:r>
    </w:p>
    <w:p>
      <w:pPr>
        <w:tabs>
          <w:tab w:val="left" w:pos="6300"/>
        </w:tabs>
        <w:snapToGrid w:val="0"/>
        <w:spacing w:line="500" w:lineRule="exact"/>
        <w:jc w:val="center"/>
        <w:rPr>
          <w:rFonts w:ascii="方正仿宋_GBK" w:hAnsi="宋体" w:eastAsia="方正仿宋_GBK" w:cs="Times New Roman"/>
          <w:color w:val="auto"/>
          <w:sz w:val="24"/>
          <w:szCs w:val="28"/>
        </w:rPr>
      </w:pPr>
    </w:p>
    <w:p>
      <w:pPr>
        <w:tabs>
          <w:tab w:val="left" w:pos="6300"/>
        </w:tabs>
        <w:snapToGrid w:val="0"/>
        <w:spacing w:line="500" w:lineRule="exact"/>
        <w:rPr>
          <w:rFonts w:ascii="方正仿宋_GBK" w:hAnsi="宋体" w:eastAsia="方正仿宋_GBK" w:cs="Times New Roman"/>
          <w:color w:val="auto"/>
          <w:sz w:val="24"/>
          <w:szCs w:val="28"/>
        </w:rPr>
      </w:pPr>
    </w:p>
    <w:p>
      <w:pPr>
        <w:tabs>
          <w:tab w:val="left" w:pos="6300"/>
        </w:tabs>
        <w:snapToGrid w:val="0"/>
        <w:spacing w:line="500" w:lineRule="exact"/>
        <w:ind w:firstLine="6480" w:firstLineChars="27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w:t>
      </w:r>
    </w:p>
    <w:p>
      <w:pPr>
        <w:tabs>
          <w:tab w:val="left" w:pos="6300"/>
        </w:tabs>
        <w:snapToGrid w:val="0"/>
        <w:spacing w:line="360" w:lineRule="auto"/>
        <w:ind w:right="360" w:firstLine="480" w:firstLineChars="200"/>
        <w:jc w:val="right"/>
        <w:rPr>
          <w:rFonts w:ascii="方正仿宋_GBK" w:hAnsi="宋体" w:eastAsia="方正仿宋_GBK" w:cs="Times New Roman"/>
          <w:color w:val="auto"/>
          <w:sz w:val="24"/>
          <w:szCs w:val="28"/>
        </w:rPr>
      </w:pPr>
    </w:p>
    <w:p>
      <w:pPr>
        <w:tabs>
          <w:tab w:val="left" w:pos="6300"/>
        </w:tabs>
        <w:snapToGrid w:val="0"/>
        <w:spacing w:line="360" w:lineRule="auto"/>
        <w:ind w:right="1320" w:firstLine="480" w:firstLineChars="200"/>
        <w:jc w:val="righ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年   月   日</w:t>
      </w: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360" w:lineRule="auto"/>
        <w:ind w:firstLine="560" w:firstLineChars="200"/>
        <w:rPr>
          <w:rFonts w:ascii="仿宋" w:hAnsi="仿宋" w:eastAsia="仿宋" w:cs="仿宋"/>
          <w:color w:val="auto"/>
          <w:sz w:val="28"/>
          <w:szCs w:val="28"/>
        </w:rPr>
      </w:pPr>
      <w:bookmarkStart w:id="159" w:name="OLE_LINK7"/>
      <w:bookmarkStart w:id="160" w:name="OLE_LINK4"/>
      <w:r>
        <w:rPr>
          <w:rFonts w:hint="eastAsia" w:ascii="方正仿宋_GBK" w:hAnsi="宋体" w:eastAsia="方正仿宋_GBK" w:cs="Times New Roman"/>
          <w:color w:val="auto"/>
          <w:sz w:val="28"/>
          <w:szCs w:val="20"/>
        </w:rPr>
        <w:t>（七）</w:t>
      </w:r>
      <w:r>
        <w:rPr>
          <w:rFonts w:hint="eastAsia" w:ascii="微软雅黑" w:hAnsi="微软雅黑" w:eastAsia="微软雅黑" w:cs="微软雅黑"/>
          <w:color w:val="auto"/>
          <w:sz w:val="28"/>
          <w:szCs w:val="28"/>
        </w:rPr>
        <w:t>税务登记证（副本）复印件</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微软雅黑" w:hAnsi="微软雅黑" w:eastAsia="微软雅黑" w:cs="微软雅黑"/>
          <w:color w:val="auto"/>
          <w:sz w:val="28"/>
          <w:szCs w:val="28"/>
        </w:rPr>
        <w:t>（八）</w:t>
      </w:r>
      <w:r>
        <w:rPr>
          <w:rFonts w:hint="eastAsia" w:ascii="方正仿宋_GBK" w:hAnsi="宋体" w:eastAsia="方正仿宋_GBK" w:cs="Times New Roman"/>
          <w:color w:val="auto"/>
          <w:sz w:val="28"/>
          <w:szCs w:val="20"/>
        </w:rPr>
        <w:t>社会保险缴纳证明材料</w:t>
      </w:r>
    </w:p>
    <w:p>
      <w:pPr>
        <w:widowControl/>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说明：供应商按“三证合一”登记制度办理营业执照的，组织机构代码证和税务登记证以供应商所提供的营业执照（副本）复印件为准。</w:t>
      </w:r>
    </w:p>
    <w:p>
      <w:pPr>
        <w:tabs>
          <w:tab w:val="left" w:pos="6300"/>
        </w:tabs>
        <w:snapToGrid w:val="0"/>
        <w:spacing w:line="360" w:lineRule="auto"/>
        <w:ind w:firstLine="560" w:firstLineChars="200"/>
        <w:rPr>
          <w:rFonts w:ascii="方正仿宋_GBK" w:hAnsi="宋体" w:eastAsia="方正仿宋_GBK" w:cs="Times New Roman"/>
          <w:color w:val="auto"/>
          <w:sz w:val="28"/>
          <w:szCs w:val="20"/>
        </w:rPr>
      </w:pPr>
    </w:p>
    <w:bookmarkEnd w:id="159"/>
    <w:bookmarkEnd w:id="160"/>
    <w:p>
      <w:pPr>
        <w:widowControl/>
        <w:ind w:firstLine="560" w:firstLineChars="200"/>
        <w:jc w:val="left"/>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（九）特定资格条件证书或证明文件</w:t>
      </w:r>
      <w:r>
        <w:rPr>
          <w:rFonts w:hint="eastAsia" w:ascii="微软雅黑" w:hAnsi="微软雅黑" w:eastAsia="微软雅黑" w:cs="微软雅黑"/>
          <w:color w:val="auto"/>
          <w:szCs w:val="28"/>
        </w:rPr>
        <w:t>（如果有）</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pStyle w:val="3"/>
        <w:bidi w:val="0"/>
        <w:rPr>
          <w:rFonts w:hint="eastAsia"/>
          <w:color w:val="auto"/>
          <w:lang w:val="en-US" w:eastAsia="zh-CN"/>
        </w:rPr>
      </w:pPr>
      <w:bookmarkStart w:id="161" w:name="_Toc31463"/>
      <w:bookmarkStart w:id="162" w:name="_Toc27212"/>
    </w:p>
    <w:p>
      <w:pPr>
        <w:rPr>
          <w:rFonts w:hint="eastAsia"/>
          <w:color w:val="auto"/>
          <w:lang w:val="en-US" w:eastAsia="zh-CN"/>
        </w:rPr>
      </w:pPr>
    </w:p>
    <w:p>
      <w:pPr>
        <w:rPr>
          <w:rFonts w:hint="eastAsia"/>
          <w:color w:val="auto"/>
          <w:lang w:val="en-US" w:eastAsia="zh-CN"/>
        </w:rPr>
      </w:pPr>
    </w:p>
    <w:p>
      <w:pPr>
        <w:pStyle w:val="3"/>
        <w:bidi w:val="0"/>
        <w:rPr>
          <w:rFonts w:hint="eastAsia"/>
          <w:color w:val="auto"/>
          <w:lang w:val="en-US" w:eastAsia="zh-CN"/>
        </w:rPr>
      </w:pPr>
    </w:p>
    <w:bookmarkEnd w:id="161"/>
    <w:bookmarkEnd w:id="162"/>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ascii="Times New Roman" w:hAnsi="Times New Roman" w:eastAsia="宋体" w:cs="Times New Roman"/>
          <w:color w:val="auto"/>
          <w:sz w:val="28"/>
          <w:szCs w:val="20"/>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--严重失信主体名单查询</w:t>
      </w:r>
      <w:r>
        <w:rPr>
          <w:rFonts w:hint="eastAsia" w:ascii="方正仿宋_GBK" w:hAnsi="宋体" w:eastAsia="方正仿宋_GBK"/>
          <w:color w:val="auto"/>
          <w:sz w:val="24"/>
          <w:szCs w:val="24"/>
          <w:lang w:val="en-US" w:eastAsia="zh-CN"/>
        </w:rPr>
        <w:t>（若网站更新则用最新版截图）</w:t>
      </w: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ascii="Times New Roman" w:hAnsi="Times New Roman" w:eastAsia="宋体" w:cs="Times New Roman"/>
          <w:color w:val="auto"/>
          <w:sz w:val="28"/>
          <w:szCs w:val="20"/>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--政府采购严重违法失信行为记录名单</w:t>
      </w:r>
      <w:r>
        <w:rPr>
          <w:rFonts w:hint="eastAsia" w:ascii="方正仿宋_GBK" w:hAnsi="宋体" w:eastAsia="方正仿宋_GBK"/>
          <w:color w:val="auto"/>
          <w:sz w:val="24"/>
          <w:szCs w:val="24"/>
          <w:lang w:val="en-US" w:eastAsia="zh-CN"/>
        </w:rPr>
        <w:t>（若网站更新则用最新版截图）</w:t>
      </w: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ascii="Times New Roman" w:hAnsi="Times New Roman" w:eastAsia="宋体" w:cs="Times New Roman"/>
          <w:color w:val="auto"/>
          <w:sz w:val="28"/>
          <w:szCs w:val="20"/>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--税收违法黑名单</w:t>
      </w:r>
      <w:r>
        <w:rPr>
          <w:rFonts w:hint="eastAsia" w:ascii="方正仿宋_GBK" w:hAnsi="宋体" w:eastAsia="方正仿宋_GBK"/>
          <w:color w:val="auto"/>
          <w:sz w:val="24"/>
          <w:szCs w:val="24"/>
          <w:lang w:val="en-US" w:eastAsia="zh-CN"/>
        </w:rPr>
        <w:t>（若网站更新则用最新版截图）</w:t>
      </w: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8"/>
        </w:rPr>
      </w:pPr>
    </w:p>
    <w:p>
      <w:pPr>
        <w:jc w:val="left"/>
        <w:rPr>
          <w:rFonts w:ascii="Times New Roman" w:hAnsi="Times New Roman" w:eastAsia="宋体" w:cs="Times New Roman"/>
          <w:color w:val="auto"/>
          <w:sz w:val="28"/>
          <w:szCs w:val="28"/>
        </w:rPr>
      </w:pPr>
    </w:p>
    <w:p>
      <w:pPr>
        <w:jc w:val="left"/>
        <w:rPr>
          <w:rFonts w:ascii="Times New Roman" w:hAnsi="Times New Roman" w:eastAsia="宋体"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ascii="Times New Roman" w:hAnsi="Times New Roman" w:eastAsia="宋体" w:cs="Times New Roman"/>
          <w:color w:val="auto"/>
          <w:sz w:val="28"/>
          <w:szCs w:val="20"/>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--失信被执行人</w:t>
      </w:r>
      <w:r>
        <w:rPr>
          <w:rFonts w:hint="eastAsia" w:ascii="方正仿宋_GBK" w:hAnsi="宋体" w:eastAsia="方正仿宋_GBK"/>
          <w:color w:val="auto"/>
          <w:sz w:val="24"/>
          <w:szCs w:val="24"/>
          <w:lang w:val="en-US" w:eastAsia="zh-CN"/>
        </w:rPr>
        <w:t>（若网站更新则用最新版截图）</w:t>
      </w: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pageBreakBefore/>
        <w:tabs>
          <w:tab w:val="left" w:pos="6300"/>
        </w:tabs>
        <w:snapToGrid w:val="0"/>
        <w:spacing w:line="480" w:lineRule="exact"/>
        <w:outlineLvl w:val="0"/>
        <w:rPr>
          <w:rFonts w:hint="eastAsia" w:ascii="方正仿宋_GBK" w:hAnsi="Arial" w:eastAsia="方正仿宋_GBK"/>
          <w:b/>
          <w:color w:val="auto"/>
        </w:rPr>
      </w:pPr>
      <w:r>
        <w:rPr>
          <w:rFonts w:hint="eastAsia" w:ascii="方正仿宋_GBK" w:hAnsi="Arial" w:eastAsia="方正仿宋_GBK"/>
          <w:b/>
          <w:color w:val="auto"/>
        </w:rPr>
        <w:t>其他资料</w:t>
      </w:r>
    </w:p>
    <w:p>
      <w:pPr>
        <w:rPr>
          <w:rFonts w:hint="eastAsia" w:ascii="方正仿宋_GBK" w:eastAsia="方正仿宋_GBK"/>
          <w:color w:val="auto"/>
        </w:rPr>
      </w:pPr>
      <w:r>
        <w:rPr>
          <w:rFonts w:hint="eastAsia" w:ascii="方正仿宋_GBK" w:hAnsi="宋体" w:eastAsia="方正仿宋_GBK"/>
          <w:color w:val="auto"/>
          <w:szCs w:val="28"/>
        </w:rPr>
        <w:t>（一）中小微企业声明函、监狱企业证明文件、残疾人福利性单位声明函</w:t>
      </w:r>
    </w:p>
    <w:p>
      <w:pPr>
        <w:jc w:val="center"/>
        <w:rPr>
          <w:rFonts w:hint="eastAsia" w:ascii="方正仿宋_GBK" w:hAnsi="宋体" w:eastAsia="方正仿宋_GBK"/>
          <w:color w:val="auto"/>
          <w:sz w:val="32"/>
          <w:szCs w:val="32"/>
        </w:rPr>
      </w:pPr>
      <w:r>
        <w:rPr>
          <w:rFonts w:hint="eastAsia" w:ascii="方正仿宋_GBK" w:hAnsi="宋体" w:eastAsia="方正仿宋_GBK"/>
          <w:color w:val="auto"/>
          <w:sz w:val="32"/>
          <w:szCs w:val="32"/>
        </w:rPr>
        <w:t>中小微企业声明函</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本公司郑重声明，根据《政府采购促进中小企业发展管理办法》（财库〔2020〕46号）的规定，本公司参加</w:t>
      </w:r>
      <w:r>
        <w:rPr>
          <w:rFonts w:hint="eastAsia" w:ascii="楷体" w:hAnsi="楷体" w:eastAsia="楷体" w:cs="宋体"/>
          <w:color w:val="auto"/>
          <w:sz w:val="24"/>
          <w:szCs w:val="24"/>
          <w:u w:val="single"/>
        </w:rPr>
        <w:t>重庆医科大学附属永川医院</w:t>
      </w:r>
      <w:r>
        <w:rPr>
          <w:rFonts w:hint="eastAsia" w:ascii="楷体" w:hAnsi="楷体" w:eastAsia="楷体" w:cs="宋体"/>
          <w:i/>
          <w:color w:val="auto"/>
          <w:sz w:val="24"/>
          <w:szCs w:val="24"/>
          <w:u w:val="single"/>
        </w:rPr>
        <w:t>（单位名称）</w:t>
      </w:r>
      <w:r>
        <w:rPr>
          <w:rFonts w:hint="eastAsia" w:ascii="楷体" w:hAnsi="楷体" w:eastAsia="楷体" w:cs="宋体"/>
          <w:color w:val="auto"/>
          <w:sz w:val="24"/>
          <w:szCs w:val="24"/>
        </w:rPr>
        <w:t>的</w:t>
      </w:r>
      <w:r>
        <w:rPr>
          <w:rFonts w:hint="eastAsia" w:ascii="楷体" w:hAnsi="楷体" w:eastAsia="楷体" w:cs="宋体"/>
          <w:i/>
          <w:color w:val="auto"/>
          <w:sz w:val="24"/>
          <w:szCs w:val="24"/>
          <w:u w:val="single"/>
        </w:rPr>
        <w:t>（项目名称）</w:t>
      </w:r>
      <w:r>
        <w:rPr>
          <w:rFonts w:hint="eastAsia" w:ascii="楷体" w:hAnsi="楷体" w:eastAsia="楷体" w:cs="宋体"/>
          <w:color w:val="auto"/>
          <w:sz w:val="24"/>
          <w:szCs w:val="24"/>
        </w:rPr>
        <w:t>采购活动，服务全部由符合政策要求的中小企业承接。相关企业的具体情况如下：</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1.</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u w:val="single"/>
        </w:rPr>
        <w:t>重庆医科大学附属永川医院</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u w:val="single"/>
        </w:rPr>
        <w:t>项目</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rPr>
        <w:t xml:space="preserve">，属于（工业 ） </w:t>
      </w:r>
      <w:r>
        <w:rPr>
          <w:rFonts w:hint="eastAsia" w:ascii="楷体" w:hAnsi="楷体" w:eastAsia="楷体" w:cs="宋体"/>
          <w:i/>
          <w:color w:val="auto"/>
          <w:sz w:val="24"/>
          <w:szCs w:val="24"/>
          <w:u w:val="single"/>
        </w:rPr>
        <w:t>（采购文件中明确的所属行业）</w:t>
      </w:r>
      <w:r>
        <w:rPr>
          <w:rFonts w:hint="eastAsia" w:ascii="楷体" w:hAnsi="楷体" w:eastAsia="楷体" w:cs="宋体"/>
          <w:color w:val="auto"/>
          <w:sz w:val="24"/>
          <w:szCs w:val="24"/>
        </w:rPr>
        <w:t xml:space="preserve">；承接企业为  </w:t>
      </w:r>
      <w:r>
        <w:rPr>
          <w:rFonts w:hint="eastAsia" w:ascii="楷体" w:hAnsi="楷体" w:eastAsia="楷体" w:cs="宋体"/>
          <w:color w:val="auto"/>
          <w:sz w:val="24"/>
          <w:szCs w:val="24"/>
          <w:u w:val="single"/>
        </w:rPr>
        <w:t xml:space="preserve">                       </w:t>
      </w:r>
      <w:r>
        <w:rPr>
          <w:rFonts w:hint="eastAsia" w:ascii="楷体" w:hAnsi="楷体" w:eastAsia="楷体" w:cs="宋体"/>
          <w:i/>
          <w:color w:val="auto"/>
          <w:sz w:val="24"/>
          <w:szCs w:val="24"/>
          <w:u w:val="single"/>
        </w:rPr>
        <w:t>（企业名称）</w:t>
      </w:r>
      <w:r>
        <w:rPr>
          <w:rFonts w:hint="eastAsia" w:ascii="楷体" w:hAnsi="楷体" w:eastAsia="楷体" w:cs="宋体"/>
          <w:color w:val="auto"/>
          <w:sz w:val="24"/>
          <w:szCs w:val="24"/>
        </w:rPr>
        <w:t>，    从业人员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人，营业收入为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万元，资产总额为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万元，属于</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 xml:space="preserve"> </w:t>
      </w:r>
      <w:r>
        <w:rPr>
          <w:rFonts w:hint="eastAsia" w:ascii="楷体" w:hAnsi="楷体" w:eastAsia="楷体" w:cs="宋体"/>
          <w:i/>
          <w:color w:val="auto"/>
          <w:sz w:val="24"/>
          <w:szCs w:val="24"/>
        </w:rPr>
        <w:t>（中型企业、小型企业、微型企业）</w:t>
      </w:r>
      <w:r>
        <w:rPr>
          <w:rFonts w:hint="eastAsia" w:ascii="楷体" w:hAnsi="楷体" w:eastAsia="楷体" w:cs="宋体"/>
          <w:color w:val="auto"/>
          <w:sz w:val="24"/>
          <w:szCs w:val="24"/>
        </w:rPr>
        <w:t>；</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为本标的提供的服务人员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人，其中与本企业签订劳动合同</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人，其他人员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2.</w:t>
      </w:r>
      <w:r>
        <w:rPr>
          <w:rFonts w:hint="eastAsia" w:ascii="楷体" w:hAnsi="楷体" w:eastAsia="楷体" w:cs="宋体"/>
          <w:i/>
          <w:color w:val="auto"/>
          <w:sz w:val="24"/>
          <w:szCs w:val="24"/>
          <w:u w:val="single"/>
        </w:rPr>
        <w:t xml:space="preserve"> （</w:t>
      </w:r>
      <w:r>
        <w:rPr>
          <w:rFonts w:hint="eastAsia" w:ascii="楷体" w:hAnsi="楷体" w:eastAsia="楷体" w:cs="宋体"/>
          <w:color w:val="auto"/>
          <w:sz w:val="24"/>
          <w:szCs w:val="24"/>
          <w:u w:val="single"/>
        </w:rPr>
        <w:t>重庆医科大学附属永川医院</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u w:val="single"/>
        </w:rPr>
        <w:t>项目）</w:t>
      </w:r>
      <w:r>
        <w:rPr>
          <w:rFonts w:hint="eastAsia" w:ascii="楷体" w:hAnsi="楷体" w:eastAsia="楷体" w:cs="宋体"/>
          <w:color w:val="auto"/>
          <w:sz w:val="24"/>
          <w:szCs w:val="24"/>
        </w:rPr>
        <w:t>，属于（   ）</w:t>
      </w:r>
      <w:r>
        <w:rPr>
          <w:rFonts w:hint="eastAsia" w:ascii="楷体" w:hAnsi="楷体" w:eastAsia="楷体" w:cs="宋体"/>
          <w:i/>
          <w:color w:val="auto"/>
          <w:sz w:val="24"/>
          <w:szCs w:val="24"/>
          <w:u w:val="single"/>
        </w:rPr>
        <w:t>（采购文件中明确的所属行业）</w:t>
      </w:r>
      <w:r>
        <w:rPr>
          <w:rFonts w:hint="eastAsia" w:ascii="楷体" w:hAnsi="楷体" w:eastAsia="楷体" w:cs="宋体"/>
          <w:color w:val="auto"/>
          <w:sz w:val="24"/>
          <w:szCs w:val="24"/>
        </w:rPr>
        <w:t>；承接企业为</w:t>
      </w:r>
      <w:r>
        <w:rPr>
          <w:rFonts w:hint="eastAsia" w:ascii="楷体" w:hAnsi="楷体" w:eastAsia="楷体" w:cs="宋体"/>
          <w:i/>
          <w:color w:val="auto"/>
          <w:sz w:val="24"/>
          <w:szCs w:val="24"/>
          <w:u w:val="single"/>
        </w:rPr>
        <w:t>（企业名称）</w:t>
      </w:r>
      <w:r>
        <w:rPr>
          <w:rFonts w:hint="eastAsia" w:ascii="楷体" w:hAnsi="楷体" w:eastAsia="楷体" w:cs="宋体"/>
          <w:color w:val="auto"/>
          <w:sz w:val="24"/>
          <w:szCs w:val="24"/>
        </w:rPr>
        <w:t>，从业人员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人，营业收入为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万元，资产总额为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万元，属于（      ）</w:t>
      </w:r>
      <w:r>
        <w:rPr>
          <w:rFonts w:hint="eastAsia" w:ascii="楷体" w:hAnsi="楷体" w:eastAsia="楷体" w:cs="宋体"/>
          <w:i/>
          <w:color w:val="auto"/>
          <w:sz w:val="24"/>
          <w:szCs w:val="24"/>
          <w:u w:val="single"/>
        </w:rPr>
        <w:t>（中型企业、小型企业、微型企业）</w:t>
      </w:r>
      <w:r>
        <w:rPr>
          <w:rFonts w:hint="eastAsia" w:ascii="楷体" w:hAnsi="楷体" w:eastAsia="楷体" w:cs="宋体"/>
          <w:color w:val="auto"/>
          <w:sz w:val="24"/>
          <w:szCs w:val="24"/>
        </w:rPr>
        <w:t>；</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为本标的提供的服务人员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人，其中与本企业签订劳动合同</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人，其他人员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以上企业，不属于大企业的分支机构，不存在控股股东为大企业的情形，也不存在与大企业的负责人为同一人的情形。</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本企业对上述声明内容的真实性负责。如有虚假，将依法承担相应责任。</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 xml:space="preserve">                                                    </w:t>
      </w:r>
    </w:p>
    <w:p>
      <w:pPr>
        <w:tabs>
          <w:tab w:val="left" w:pos="6300"/>
        </w:tabs>
        <w:snapToGrid w:val="0"/>
        <w:spacing w:line="500" w:lineRule="exact"/>
        <w:ind w:firstLine="3120" w:firstLineChars="1300"/>
        <w:rPr>
          <w:rFonts w:hint="eastAsia" w:ascii="楷体" w:hAnsi="楷体" w:eastAsia="楷体" w:cs="宋体"/>
          <w:color w:val="auto"/>
          <w:sz w:val="24"/>
          <w:szCs w:val="24"/>
        </w:rPr>
      </w:pPr>
      <w:r>
        <w:rPr>
          <w:rFonts w:hint="eastAsia" w:ascii="楷体" w:hAnsi="楷体" w:eastAsia="楷体" w:cs="宋体"/>
          <w:color w:val="auto"/>
          <w:sz w:val="24"/>
          <w:szCs w:val="24"/>
        </w:rPr>
        <w:t xml:space="preserve">企业名称（盖章）： </w:t>
      </w:r>
    </w:p>
    <w:p>
      <w:pPr>
        <w:tabs>
          <w:tab w:val="left" w:pos="6300"/>
        </w:tabs>
        <w:snapToGrid w:val="0"/>
        <w:spacing w:line="500" w:lineRule="exact"/>
        <w:ind w:firstLine="3600" w:firstLineChars="1500"/>
        <w:rPr>
          <w:rFonts w:hint="eastAsia" w:ascii="楷体" w:hAnsi="楷体" w:eastAsia="楷体" w:cs="宋体"/>
          <w:color w:val="auto"/>
          <w:sz w:val="24"/>
          <w:szCs w:val="24"/>
        </w:rPr>
      </w:pPr>
      <w:r>
        <w:rPr>
          <w:rFonts w:hint="eastAsia" w:ascii="楷体" w:hAnsi="楷体" w:eastAsia="楷体" w:cs="宋体"/>
          <w:color w:val="auto"/>
          <w:sz w:val="24"/>
          <w:szCs w:val="24"/>
        </w:rPr>
        <w:t>日期：</w:t>
      </w:r>
    </w:p>
    <w:p>
      <w:pPr>
        <w:tabs>
          <w:tab w:val="left" w:pos="6300"/>
        </w:tabs>
        <w:snapToGrid w:val="0"/>
        <w:spacing w:line="420" w:lineRule="exact"/>
        <w:rPr>
          <w:rFonts w:hint="eastAsia" w:ascii="楷体" w:hAnsi="楷体" w:eastAsia="楷体" w:cs="宋体"/>
          <w:color w:val="auto"/>
          <w:kern w:val="0"/>
          <w:sz w:val="24"/>
          <w:szCs w:val="24"/>
        </w:rPr>
      </w:pPr>
    </w:p>
    <w:p>
      <w:pPr>
        <w:tabs>
          <w:tab w:val="left" w:pos="6300"/>
        </w:tabs>
        <w:snapToGrid w:val="0"/>
        <w:spacing w:line="420" w:lineRule="exact"/>
        <w:rPr>
          <w:rFonts w:hint="eastAsia" w:ascii="楷体" w:hAnsi="楷体" w:eastAsia="楷体" w:cs="宋体"/>
          <w:color w:val="auto"/>
          <w:kern w:val="0"/>
          <w:sz w:val="24"/>
          <w:szCs w:val="24"/>
        </w:rPr>
      </w:pPr>
    </w:p>
    <w:p>
      <w:pPr>
        <w:tabs>
          <w:tab w:val="left" w:pos="6300"/>
        </w:tabs>
        <w:snapToGrid w:val="0"/>
        <w:spacing w:line="420" w:lineRule="exact"/>
        <w:rPr>
          <w:rFonts w:hint="eastAsia" w:ascii="楷体" w:hAnsi="楷体" w:eastAsia="楷体" w:cs="宋体"/>
          <w:color w:val="auto"/>
          <w:kern w:val="0"/>
          <w:sz w:val="24"/>
          <w:szCs w:val="24"/>
        </w:rPr>
      </w:pPr>
    </w:p>
    <w:p>
      <w:pPr>
        <w:tabs>
          <w:tab w:val="left" w:pos="6300"/>
        </w:tabs>
        <w:snapToGrid w:val="0"/>
        <w:spacing w:line="420" w:lineRule="exact"/>
        <w:rPr>
          <w:rFonts w:hint="eastAsia" w:ascii="楷体" w:hAnsi="楷体" w:eastAsia="楷体" w:cs="宋体"/>
          <w:color w:val="auto"/>
          <w:kern w:val="0"/>
          <w:sz w:val="24"/>
          <w:szCs w:val="24"/>
        </w:rPr>
      </w:pPr>
    </w:p>
    <w:p>
      <w:pPr>
        <w:tabs>
          <w:tab w:val="left" w:pos="6300"/>
        </w:tabs>
        <w:snapToGrid w:val="0"/>
        <w:spacing w:line="420" w:lineRule="exact"/>
        <w:rPr>
          <w:rFonts w:hint="eastAsia" w:ascii="楷体" w:hAnsi="楷体" w:eastAsia="楷体" w:cs="宋体"/>
          <w:color w:val="auto"/>
          <w:kern w:val="0"/>
          <w:sz w:val="24"/>
          <w:szCs w:val="24"/>
        </w:rPr>
      </w:pPr>
    </w:p>
    <w:p>
      <w:pPr>
        <w:tabs>
          <w:tab w:val="left" w:pos="6300"/>
        </w:tabs>
        <w:snapToGrid w:val="0"/>
        <w:spacing w:line="420" w:lineRule="exact"/>
        <w:rPr>
          <w:rFonts w:hint="eastAsia" w:ascii="楷体" w:hAnsi="楷体" w:eastAsia="楷体" w:cs="宋体"/>
          <w:color w:val="auto"/>
          <w:kern w:val="0"/>
          <w:sz w:val="24"/>
          <w:szCs w:val="24"/>
        </w:rPr>
      </w:pPr>
    </w:p>
    <w:p>
      <w:pPr>
        <w:tabs>
          <w:tab w:val="left" w:pos="6300"/>
        </w:tabs>
        <w:snapToGrid w:val="0"/>
        <w:spacing w:line="420" w:lineRule="exact"/>
        <w:rPr>
          <w:rFonts w:hint="eastAsia" w:ascii="楷体" w:hAnsi="楷体" w:eastAsia="楷体" w:cs="宋体"/>
          <w:color w:val="auto"/>
          <w:kern w:val="0"/>
          <w:sz w:val="24"/>
          <w:szCs w:val="24"/>
        </w:rPr>
      </w:pPr>
      <w:r>
        <w:rPr>
          <w:rFonts w:hint="eastAsia" w:ascii="楷体" w:hAnsi="楷体" w:eastAsia="楷体" w:cs="宋体"/>
          <w:color w:val="auto"/>
          <w:kern w:val="0"/>
          <w:sz w:val="24"/>
          <w:szCs w:val="24"/>
        </w:rPr>
        <w:t>填写时应注意以下事项：</w:t>
      </w:r>
    </w:p>
    <w:p>
      <w:pPr>
        <w:tabs>
          <w:tab w:val="left" w:pos="6300"/>
        </w:tabs>
        <w:snapToGrid w:val="0"/>
        <w:spacing w:line="420" w:lineRule="exact"/>
        <w:ind w:firstLine="480" w:firstLineChars="200"/>
        <w:rPr>
          <w:rFonts w:hint="eastAsia" w:ascii="楷体" w:hAnsi="楷体" w:eastAsia="楷体" w:cs="宋体"/>
          <w:color w:val="auto"/>
          <w:kern w:val="0"/>
          <w:sz w:val="24"/>
          <w:szCs w:val="24"/>
        </w:rPr>
      </w:pPr>
      <w:r>
        <w:rPr>
          <w:rFonts w:hint="eastAsia" w:ascii="楷体" w:hAnsi="楷体" w:eastAsia="楷体" w:cs="宋体"/>
          <w:color w:val="auto"/>
          <w:kern w:val="0"/>
          <w:sz w:val="24"/>
          <w:szCs w:val="24"/>
        </w:rPr>
        <w:t>1.从业人员、营业收入、资产总额填报上一年度数据，无上一年度数据的新成立企业可不填报。</w:t>
      </w:r>
    </w:p>
    <w:p>
      <w:pPr>
        <w:tabs>
          <w:tab w:val="left" w:pos="6300"/>
        </w:tabs>
        <w:snapToGrid w:val="0"/>
        <w:spacing w:line="420" w:lineRule="exact"/>
        <w:ind w:firstLine="482" w:firstLineChars="200"/>
        <w:rPr>
          <w:rFonts w:hint="eastAsia" w:ascii="楷体" w:hAnsi="楷体" w:eastAsia="楷体" w:cs="宋体"/>
          <w:b/>
          <w:color w:val="auto"/>
          <w:kern w:val="0"/>
          <w:sz w:val="24"/>
          <w:szCs w:val="24"/>
          <w:u w:val="single"/>
        </w:rPr>
      </w:pPr>
      <w:r>
        <w:rPr>
          <w:rFonts w:hint="eastAsia" w:ascii="楷体" w:hAnsi="楷体" w:eastAsia="楷体" w:cs="宋体"/>
          <w:b/>
          <w:color w:val="auto"/>
          <w:kern w:val="0"/>
          <w:sz w:val="24"/>
          <w:szCs w:val="24"/>
          <w:u w:val="single"/>
        </w:rPr>
        <w:t>2.中小企业应当按照《中小企业划型标准规定》（工信部联企业〔2011〕300号），如实填写并提交《中小企业声明函》。</w:t>
      </w:r>
    </w:p>
    <w:p>
      <w:pPr>
        <w:tabs>
          <w:tab w:val="left" w:pos="6300"/>
        </w:tabs>
        <w:snapToGrid w:val="0"/>
        <w:spacing w:line="420" w:lineRule="exact"/>
        <w:ind w:firstLine="482" w:firstLineChars="200"/>
        <w:rPr>
          <w:rFonts w:hint="eastAsia" w:ascii="楷体" w:hAnsi="楷体" w:eastAsia="楷体" w:cs="宋体"/>
          <w:b/>
          <w:color w:val="auto"/>
          <w:kern w:val="0"/>
          <w:sz w:val="24"/>
          <w:szCs w:val="24"/>
          <w:u w:val="single"/>
        </w:rPr>
      </w:pPr>
      <w:r>
        <w:rPr>
          <w:rFonts w:hint="eastAsia" w:ascii="楷体" w:hAnsi="楷体" w:eastAsia="楷体" w:cs="宋体"/>
          <w:b/>
          <w:color w:val="auto"/>
          <w:kern w:val="0"/>
          <w:sz w:val="24"/>
          <w:szCs w:val="24"/>
          <w:u w:val="single"/>
        </w:rPr>
        <w:t>3.投标人填写《中小企业声明函》中所属行业时，应与采购文件第一篇 “采购标的对应的中小企业划分标准所属行业”中填写的所属行业一致。</w:t>
      </w:r>
    </w:p>
    <w:p>
      <w:pPr>
        <w:tabs>
          <w:tab w:val="left" w:pos="6300"/>
        </w:tabs>
        <w:snapToGrid w:val="0"/>
        <w:spacing w:line="420" w:lineRule="exact"/>
        <w:ind w:firstLine="482" w:firstLineChars="200"/>
        <w:rPr>
          <w:rFonts w:hint="eastAsia" w:ascii="楷体" w:hAnsi="楷体" w:eastAsia="楷体" w:cs="宋体"/>
          <w:b/>
          <w:color w:val="auto"/>
          <w:kern w:val="0"/>
          <w:sz w:val="24"/>
          <w:szCs w:val="24"/>
          <w:u w:val="single"/>
        </w:rPr>
      </w:pPr>
      <w:r>
        <w:rPr>
          <w:rFonts w:hint="eastAsia" w:ascii="楷体" w:hAnsi="楷体" w:eastAsia="楷体" w:cs="宋体"/>
          <w:b/>
          <w:color w:val="auto"/>
          <w:kern w:val="0"/>
          <w:sz w:val="24"/>
          <w:szCs w:val="24"/>
          <w:u w:val="single"/>
        </w:rPr>
        <w:t>4.本声明函“企业名称（盖章）”处为投标人盖章。</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注：各行业划型标准：</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（一）农、林、牧、渔业。营业收入20000万元以下的为中小微型企业。其中，营业收入500万元及以上的为中型企业，营业收入50万元及以上的为小型企业，营业收入50万元以下的为微型企业。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tabs>
          <w:tab w:val="left" w:pos="6300"/>
        </w:tabs>
        <w:snapToGrid w:val="0"/>
        <w:spacing w:line="500" w:lineRule="exact"/>
        <w:rPr>
          <w:rFonts w:hint="eastAsia" w:ascii="楷体" w:hAnsi="楷体" w:eastAsia="楷体"/>
          <w:color w:val="auto"/>
          <w:sz w:val="24"/>
          <w:szCs w:val="24"/>
        </w:rPr>
      </w:pPr>
      <w:r>
        <w:rPr>
          <w:rFonts w:hint="eastAsia" w:ascii="楷体" w:hAnsi="楷体" w:eastAsia="楷体" w:cs="宋体"/>
          <w:color w:val="auto"/>
          <w:sz w:val="24"/>
          <w:szCs w:val="24"/>
        </w:rPr>
        <w:t>（十六）其他未列明行业。从业人员300人以下的为中小微型企业。其中，从业人员100人及以上的为中型企业；从业人员10人及以上的为小型企业；从业人员10人以下的为微型企业。</w:t>
      </w:r>
    </w:p>
    <w:p>
      <w:pPr>
        <w:ind w:firstLine="640" w:firstLineChars="200"/>
        <w:jc w:val="center"/>
        <w:rPr>
          <w:rFonts w:hint="eastAsia" w:ascii="方正仿宋_GBK" w:hAnsi="仿宋" w:eastAsia="方正仿宋_GBK"/>
          <w:color w:val="auto"/>
          <w:sz w:val="32"/>
          <w:szCs w:val="32"/>
        </w:rPr>
      </w:pPr>
      <w:r>
        <w:rPr>
          <w:rFonts w:hint="eastAsia" w:ascii="方正仿宋_GBK" w:hAnsi="仿宋" w:eastAsia="方正仿宋_GBK"/>
          <w:color w:val="auto"/>
          <w:sz w:val="32"/>
          <w:szCs w:val="32"/>
        </w:rPr>
        <w:t>监狱企业证明文件</w:t>
      </w:r>
    </w:p>
    <w:p>
      <w:pPr>
        <w:ind w:firstLine="480" w:firstLineChars="200"/>
        <w:jc w:val="left"/>
        <w:rPr>
          <w:rFonts w:hint="eastAsia" w:ascii="方正仿宋_GBK" w:eastAsia="方正仿宋_GBK"/>
          <w:color w:val="auto"/>
        </w:rPr>
      </w:pPr>
      <w:r>
        <w:rPr>
          <w:rFonts w:hint="eastAsia" w:ascii="方正仿宋_GBK" w:hAnsi="仿宋" w:eastAsia="方正仿宋_GBK"/>
          <w:color w:val="auto"/>
          <w:sz w:val="24"/>
        </w:rPr>
        <w:t>以省级以上监狱管理局、戒毒管理局（含新疆生产建设兵团）出具的属于监狱企业的证明文件为准。</w:t>
      </w:r>
    </w:p>
    <w:p>
      <w:pPr>
        <w:ind w:firstLine="420" w:firstLineChars="200"/>
        <w:jc w:val="center"/>
        <w:rPr>
          <w:rFonts w:hint="eastAsia" w:ascii="方正仿宋_GBK" w:hAnsi="仿宋" w:eastAsia="方正仿宋_GBK"/>
          <w:color w:val="auto"/>
          <w:sz w:val="32"/>
          <w:szCs w:val="32"/>
        </w:rPr>
      </w:pPr>
      <w:r>
        <w:rPr>
          <w:rFonts w:ascii="方正仿宋_GBK" w:eastAsia="方正仿宋_GBK"/>
          <w:color w:val="auto"/>
        </w:rPr>
        <w:br w:type="page"/>
      </w:r>
      <w:r>
        <w:rPr>
          <w:rFonts w:hint="eastAsia" w:ascii="方正仿宋_GBK" w:hAnsi="仿宋" w:eastAsia="方正仿宋_GBK"/>
          <w:color w:val="auto"/>
          <w:sz w:val="32"/>
          <w:szCs w:val="32"/>
        </w:rPr>
        <w:t>残疾人福利性单位声明函</w:t>
      </w: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本单位对上述声明的真实性负责。如有虚假，将依法承担相应责任。</w:t>
      </w:r>
    </w:p>
    <w:p>
      <w:pPr>
        <w:tabs>
          <w:tab w:val="left" w:pos="6300"/>
        </w:tabs>
        <w:snapToGrid w:val="0"/>
        <w:spacing w:line="500" w:lineRule="exact"/>
        <w:ind w:firstLine="480" w:firstLineChars="200"/>
        <w:rPr>
          <w:rFonts w:hint="eastAsia" w:ascii="方正仿宋_GBK" w:hAnsi="仿宋" w:eastAsia="方正仿宋_GBK"/>
          <w:color w:val="auto"/>
          <w:sz w:val="24"/>
        </w:rPr>
      </w:pPr>
    </w:p>
    <w:p>
      <w:pPr>
        <w:tabs>
          <w:tab w:val="left" w:pos="6300"/>
        </w:tabs>
        <w:snapToGrid w:val="0"/>
        <w:spacing w:line="500" w:lineRule="exact"/>
        <w:ind w:firstLine="480" w:firstLineChars="200"/>
        <w:rPr>
          <w:rFonts w:hint="eastAsia" w:ascii="方正仿宋_GBK" w:hAnsi="仿宋" w:eastAsia="方正仿宋_GBK"/>
          <w:color w:val="auto"/>
          <w:sz w:val="24"/>
        </w:rPr>
      </w:pP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 xml:space="preserve">                                                 供应商名称（盖章）：</w:t>
      </w:r>
    </w:p>
    <w:p>
      <w:pPr>
        <w:jc w:val="center"/>
        <w:rPr>
          <w:rFonts w:hint="eastAsia" w:ascii="方正仿宋_GBK" w:eastAsia="方正仿宋_GBK"/>
          <w:color w:val="auto"/>
        </w:rPr>
      </w:pPr>
      <w:r>
        <w:rPr>
          <w:rFonts w:hint="eastAsia" w:ascii="方正仿宋_GBK" w:hAnsi="仿宋" w:eastAsia="方正仿宋_GBK"/>
          <w:color w:val="auto"/>
          <w:sz w:val="24"/>
        </w:rPr>
        <w:t xml:space="preserve">                                                  日  期：</w:t>
      </w:r>
    </w:p>
    <w:p>
      <w:pPr>
        <w:rPr>
          <w:color w:val="auto"/>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771FB724-77DE-4020-B226-BE78107DB77F}"/>
  </w:font>
  <w:font w:name="黑体">
    <w:panose1 w:val="02010609060101010101"/>
    <w:charset w:val="86"/>
    <w:family w:val="auto"/>
    <w:pitch w:val="default"/>
    <w:sig w:usb0="800002BF" w:usb1="38CF7CFA" w:usb2="00000016" w:usb3="00000000" w:csb0="00040001" w:csb1="00000000"/>
    <w:embedRegular r:id="rId2" w:fontKey="{85EEEC41-7B17-4B8C-9CA0-C0F25CEA7AC3}"/>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embedRegular r:id="rId3" w:fontKey="{8D6A1490-DADD-4FEC-92E5-A5607D35B2BB}"/>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文鼎粗黑">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embedRegular r:id="rId4" w:fontKey="{F1DEEC05-37CA-4184-A7C6-63CB81601780}"/>
  </w:font>
  <w:font w:name="方正小标宋简体">
    <w:panose1 w:val="02000000000000000000"/>
    <w:charset w:val="86"/>
    <w:family w:val="auto"/>
    <w:pitch w:val="default"/>
    <w:sig w:usb0="00000001" w:usb1="08000000" w:usb2="00000000" w:usb3="00000000" w:csb0="00040000" w:csb1="00000000"/>
    <w:embedRegular r:id="rId5" w:fontKey="{5FCCB37A-86E7-48D1-B017-DE5D781FB0B9}"/>
  </w:font>
  <w:font w:name="方正黑体_GBK">
    <w:panose1 w:val="03000509000000000000"/>
    <w:charset w:val="86"/>
    <w:family w:val="script"/>
    <w:pitch w:val="default"/>
    <w:sig w:usb0="00000001" w:usb1="080E0000" w:usb2="00000000" w:usb3="00000000" w:csb0="00040000" w:csb1="00000000"/>
    <w:embedRegular r:id="rId6" w:fontKey="{AF328281-91E2-4429-9F59-18637925856A}"/>
  </w:font>
  <w:font w:name="方正小标宋_GBK">
    <w:panose1 w:val="02000000000000000000"/>
    <w:charset w:val="86"/>
    <w:family w:val="script"/>
    <w:pitch w:val="default"/>
    <w:sig w:usb0="00000001" w:usb1="080E0000" w:usb2="00000000" w:usb3="00000000" w:csb0="00040000" w:csb1="00000000"/>
    <w:embedRegular r:id="rId7" w:fontKey="{4F2E5D1D-9E11-4827-A0D1-ABA789E2505D}"/>
  </w:font>
  <w:font w:name="微软雅黑">
    <w:panose1 w:val="020B0503020204020204"/>
    <w:charset w:val="86"/>
    <w:family w:val="auto"/>
    <w:pitch w:val="default"/>
    <w:sig w:usb0="80000287" w:usb1="280F3C52" w:usb2="00000016" w:usb3="00000000" w:csb0="0004001F" w:csb1="00000000"/>
    <w:embedRegular r:id="rId8" w:fontKey="{92E559FB-F8EB-4929-A20D-ED4BA84B9DE2}"/>
  </w:font>
  <w:font w:name="方正仿宋_GBK">
    <w:panose1 w:val="03000509000000000000"/>
    <w:charset w:val="86"/>
    <w:family w:val="script"/>
    <w:pitch w:val="default"/>
    <w:sig w:usb0="00000001" w:usb1="080E0000" w:usb2="00000000" w:usb3="00000000" w:csb0="00040000" w:csb1="00000000"/>
    <w:embedRegular r:id="rId9" w:fontKey="{E52BBE93-B985-464F-818A-D4433D2FF193}"/>
  </w:font>
  <w:font w:name="MS Shell Dlg">
    <w:altName w:val="Microsoft Sans Serif"/>
    <w:panose1 w:val="020B0604020202020204"/>
    <w:charset w:val="00"/>
    <w:family w:val="swiss"/>
    <w:pitch w:val="default"/>
    <w:sig w:usb0="00000000" w:usb1="00000000" w:usb2="00000008" w:usb3="00000000" w:csb0="000101FF" w:csb1="00000000"/>
    <w:embedRegular r:id="rId10" w:fontKey="{09774137-CD44-46A8-A59F-49E5F0F5ABBA}"/>
  </w:font>
  <w:font w:name="楷体">
    <w:panose1 w:val="02010609060101010101"/>
    <w:charset w:val="86"/>
    <w:family w:val="auto"/>
    <w:pitch w:val="default"/>
    <w:sig w:usb0="800002BF" w:usb1="38CF7CFA" w:usb2="00000016" w:usb3="00000000" w:csb0="00040001" w:csb1="00000000"/>
    <w:embedRegular r:id="rId11" w:fontKey="{BD7687D7-FD65-40DA-8411-F96DC1223C18}"/>
  </w:font>
  <w:font w:name="Microsoft Sans Serif">
    <w:panose1 w:val="020B0604020202020204"/>
    <w:charset w:val="00"/>
    <w:family w:val="auto"/>
    <w:pitch w:val="default"/>
    <w:sig w:usb0="E1002AFF" w:usb1="C0000002" w:usb2="00000008"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4DA26C6"/>
    <w:rsid w:val="05E94CDF"/>
    <w:rsid w:val="06A45EA9"/>
    <w:rsid w:val="06BC1BB0"/>
    <w:rsid w:val="074B1659"/>
    <w:rsid w:val="07911761"/>
    <w:rsid w:val="07C5765D"/>
    <w:rsid w:val="07F26429"/>
    <w:rsid w:val="084C34CD"/>
    <w:rsid w:val="0ACF458A"/>
    <w:rsid w:val="0B6F68C5"/>
    <w:rsid w:val="0BAE21B6"/>
    <w:rsid w:val="0BDC31C7"/>
    <w:rsid w:val="0BE1258C"/>
    <w:rsid w:val="0C033E70"/>
    <w:rsid w:val="0C3152C1"/>
    <w:rsid w:val="0C931BB2"/>
    <w:rsid w:val="0C975B64"/>
    <w:rsid w:val="0C9D3992"/>
    <w:rsid w:val="0DC167EC"/>
    <w:rsid w:val="0E0E625A"/>
    <w:rsid w:val="0E4D3D6E"/>
    <w:rsid w:val="0E5721EA"/>
    <w:rsid w:val="0E5A796A"/>
    <w:rsid w:val="0E5B6625"/>
    <w:rsid w:val="0E9859A3"/>
    <w:rsid w:val="0ECE4584"/>
    <w:rsid w:val="0F291536"/>
    <w:rsid w:val="0FAB0EE6"/>
    <w:rsid w:val="0FD61CDB"/>
    <w:rsid w:val="10246EEB"/>
    <w:rsid w:val="10413B50"/>
    <w:rsid w:val="104D689B"/>
    <w:rsid w:val="109D57E0"/>
    <w:rsid w:val="10BF5E9B"/>
    <w:rsid w:val="131D034D"/>
    <w:rsid w:val="134E0964"/>
    <w:rsid w:val="13653AA2"/>
    <w:rsid w:val="14B95EDB"/>
    <w:rsid w:val="14C6168E"/>
    <w:rsid w:val="14C6556D"/>
    <w:rsid w:val="1554725E"/>
    <w:rsid w:val="15604521"/>
    <w:rsid w:val="158D32E0"/>
    <w:rsid w:val="17E52B34"/>
    <w:rsid w:val="18130842"/>
    <w:rsid w:val="18465822"/>
    <w:rsid w:val="18675712"/>
    <w:rsid w:val="19394057"/>
    <w:rsid w:val="19B7492C"/>
    <w:rsid w:val="1A511E59"/>
    <w:rsid w:val="1B1D5FE3"/>
    <w:rsid w:val="1B925650"/>
    <w:rsid w:val="1C0025BA"/>
    <w:rsid w:val="1C66752D"/>
    <w:rsid w:val="1CED540D"/>
    <w:rsid w:val="1CF736B7"/>
    <w:rsid w:val="1D632E00"/>
    <w:rsid w:val="1DD87EDC"/>
    <w:rsid w:val="1E9D4968"/>
    <w:rsid w:val="1EB13D33"/>
    <w:rsid w:val="1F062593"/>
    <w:rsid w:val="1F08489B"/>
    <w:rsid w:val="1F2D0A6E"/>
    <w:rsid w:val="1F3D23B3"/>
    <w:rsid w:val="1F6A74CC"/>
    <w:rsid w:val="1F6D6E4A"/>
    <w:rsid w:val="1FCE723D"/>
    <w:rsid w:val="20084BEF"/>
    <w:rsid w:val="203372B2"/>
    <w:rsid w:val="204C6181"/>
    <w:rsid w:val="20FB0BC7"/>
    <w:rsid w:val="2114239C"/>
    <w:rsid w:val="21C45BE8"/>
    <w:rsid w:val="21F678C9"/>
    <w:rsid w:val="21F94F0D"/>
    <w:rsid w:val="224F1BA5"/>
    <w:rsid w:val="23743B1F"/>
    <w:rsid w:val="240C0392"/>
    <w:rsid w:val="24C51764"/>
    <w:rsid w:val="254D6667"/>
    <w:rsid w:val="25B67319"/>
    <w:rsid w:val="25B7688A"/>
    <w:rsid w:val="25B91E1A"/>
    <w:rsid w:val="26380176"/>
    <w:rsid w:val="26A440C8"/>
    <w:rsid w:val="26FE2E6F"/>
    <w:rsid w:val="271E4A07"/>
    <w:rsid w:val="275D539C"/>
    <w:rsid w:val="282105EF"/>
    <w:rsid w:val="287535CD"/>
    <w:rsid w:val="28CD4235"/>
    <w:rsid w:val="28D01566"/>
    <w:rsid w:val="28E31299"/>
    <w:rsid w:val="29430470"/>
    <w:rsid w:val="2B3D6767"/>
    <w:rsid w:val="2B57565F"/>
    <w:rsid w:val="2BBD2276"/>
    <w:rsid w:val="2C812A23"/>
    <w:rsid w:val="2CF2794B"/>
    <w:rsid w:val="2E4A05E4"/>
    <w:rsid w:val="2F1F1F02"/>
    <w:rsid w:val="2F2348BD"/>
    <w:rsid w:val="2F6F1AD9"/>
    <w:rsid w:val="2F943FCB"/>
    <w:rsid w:val="2FD06C0B"/>
    <w:rsid w:val="30A44277"/>
    <w:rsid w:val="30B15F03"/>
    <w:rsid w:val="31CA4358"/>
    <w:rsid w:val="32050A97"/>
    <w:rsid w:val="32284BF5"/>
    <w:rsid w:val="32DA1DD4"/>
    <w:rsid w:val="33323C73"/>
    <w:rsid w:val="3361798A"/>
    <w:rsid w:val="34477E1A"/>
    <w:rsid w:val="34B44507"/>
    <w:rsid w:val="35687566"/>
    <w:rsid w:val="35B15F88"/>
    <w:rsid w:val="35D501BC"/>
    <w:rsid w:val="35E87A5C"/>
    <w:rsid w:val="369E4A52"/>
    <w:rsid w:val="36A73740"/>
    <w:rsid w:val="36EC0B56"/>
    <w:rsid w:val="375A306E"/>
    <w:rsid w:val="38442273"/>
    <w:rsid w:val="38C010B0"/>
    <w:rsid w:val="38E86458"/>
    <w:rsid w:val="38EB2B69"/>
    <w:rsid w:val="391C67AE"/>
    <w:rsid w:val="39486CC3"/>
    <w:rsid w:val="39A3534F"/>
    <w:rsid w:val="39D65068"/>
    <w:rsid w:val="3AA25DEC"/>
    <w:rsid w:val="3B30241A"/>
    <w:rsid w:val="3B5B756F"/>
    <w:rsid w:val="3B870893"/>
    <w:rsid w:val="3C4F6F1A"/>
    <w:rsid w:val="3D4C1E7B"/>
    <w:rsid w:val="3DD60FEB"/>
    <w:rsid w:val="3E263CAA"/>
    <w:rsid w:val="3E491747"/>
    <w:rsid w:val="3E6B192F"/>
    <w:rsid w:val="3EA55BAC"/>
    <w:rsid w:val="3EEF12C4"/>
    <w:rsid w:val="3F591E5E"/>
    <w:rsid w:val="40113C23"/>
    <w:rsid w:val="403F2E01"/>
    <w:rsid w:val="404A2E64"/>
    <w:rsid w:val="40AB0EC9"/>
    <w:rsid w:val="40E52488"/>
    <w:rsid w:val="41007A8F"/>
    <w:rsid w:val="415869FC"/>
    <w:rsid w:val="41AB14E8"/>
    <w:rsid w:val="41D4500D"/>
    <w:rsid w:val="41D67141"/>
    <w:rsid w:val="41F534A6"/>
    <w:rsid w:val="42030507"/>
    <w:rsid w:val="420A020E"/>
    <w:rsid w:val="428345E9"/>
    <w:rsid w:val="429D5EC0"/>
    <w:rsid w:val="437470EA"/>
    <w:rsid w:val="444565A3"/>
    <w:rsid w:val="447A6AFE"/>
    <w:rsid w:val="45AC0F39"/>
    <w:rsid w:val="461B60BF"/>
    <w:rsid w:val="46C96141"/>
    <w:rsid w:val="46D06FAA"/>
    <w:rsid w:val="475461C4"/>
    <w:rsid w:val="477A0BC3"/>
    <w:rsid w:val="47F3755A"/>
    <w:rsid w:val="482B71EF"/>
    <w:rsid w:val="48FA020D"/>
    <w:rsid w:val="492C6FBB"/>
    <w:rsid w:val="499D1F70"/>
    <w:rsid w:val="4A1025A8"/>
    <w:rsid w:val="4AC26B09"/>
    <w:rsid w:val="4AD41B9B"/>
    <w:rsid w:val="4AED1C9D"/>
    <w:rsid w:val="4BE8259F"/>
    <w:rsid w:val="4C4E289A"/>
    <w:rsid w:val="4DD75684"/>
    <w:rsid w:val="4E0D2518"/>
    <w:rsid w:val="4E231003"/>
    <w:rsid w:val="4EF70D4B"/>
    <w:rsid w:val="4F2E0C11"/>
    <w:rsid w:val="4F79418A"/>
    <w:rsid w:val="50B9275C"/>
    <w:rsid w:val="50F72CC9"/>
    <w:rsid w:val="50FE286B"/>
    <w:rsid w:val="514069D9"/>
    <w:rsid w:val="51932220"/>
    <w:rsid w:val="51D77CAA"/>
    <w:rsid w:val="529620AE"/>
    <w:rsid w:val="52ED493F"/>
    <w:rsid w:val="531F0FF7"/>
    <w:rsid w:val="53B56AAB"/>
    <w:rsid w:val="546107D9"/>
    <w:rsid w:val="55297C80"/>
    <w:rsid w:val="56644F18"/>
    <w:rsid w:val="56FF2E93"/>
    <w:rsid w:val="58625BCC"/>
    <w:rsid w:val="58B574EB"/>
    <w:rsid w:val="58FC1D80"/>
    <w:rsid w:val="593509FB"/>
    <w:rsid w:val="59893E96"/>
    <w:rsid w:val="599D432B"/>
    <w:rsid w:val="59E56370"/>
    <w:rsid w:val="5B3E21DC"/>
    <w:rsid w:val="5B4A5024"/>
    <w:rsid w:val="5BC414F3"/>
    <w:rsid w:val="5CAE15E3"/>
    <w:rsid w:val="5D290C69"/>
    <w:rsid w:val="5E36741C"/>
    <w:rsid w:val="5F3F2DAC"/>
    <w:rsid w:val="5FB15C3A"/>
    <w:rsid w:val="6022194E"/>
    <w:rsid w:val="606E5CB4"/>
    <w:rsid w:val="60980BFD"/>
    <w:rsid w:val="60D65D3F"/>
    <w:rsid w:val="60F4333C"/>
    <w:rsid w:val="611A50B4"/>
    <w:rsid w:val="619C43F3"/>
    <w:rsid w:val="6269072D"/>
    <w:rsid w:val="62A30CCB"/>
    <w:rsid w:val="6352606D"/>
    <w:rsid w:val="645A13DB"/>
    <w:rsid w:val="656A40F1"/>
    <w:rsid w:val="667E25AF"/>
    <w:rsid w:val="66815672"/>
    <w:rsid w:val="67FF2A16"/>
    <w:rsid w:val="6972525B"/>
    <w:rsid w:val="69C211FB"/>
    <w:rsid w:val="69FC5E8B"/>
    <w:rsid w:val="6A16113C"/>
    <w:rsid w:val="6AD27A6A"/>
    <w:rsid w:val="6B217424"/>
    <w:rsid w:val="6B28360F"/>
    <w:rsid w:val="6B9F4D55"/>
    <w:rsid w:val="6BAA3DD9"/>
    <w:rsid w:val="6C172D01"/>
    <w:rsid w:val="6DAB4CCB"/>
    <w:rsid w:val="6DC70D5C"/>
    <w:rsid w:val="6E45126B"/>
    <w:rsid w:val="6F062BB9"/>
    <w:rsid w:val="6F213E8F"/>
    <w:rsid w:val="70E64A50"/>
    <w:rsid w:val="71231A63"/>
    <w:rsid w:val="73614D85"/>
    <w:rsid w:val="739465A0"/>
    <w:rsid w:val="73B34AD5"/>
    <w:rsid w:val="74E41D61"/>
    <w:rsid w:val="77452BA0"/>
    <w:rsid w:val="774923FD"/>
    <w:rsid w:val="77B52272"/>
    <w:rsid w:val="783A1618"/>
    <w:rsid w:val="788222E3"/>
    <w:rsid w:val="7908485F"/>
    <w:rsid w:val="7936053E"/>
    <w:rsid w:val="793F0B2C"/>
    <w:rsid w:val="797D07AB"/>
    <w:rsid w:val="79AC25AE"/>
    <w:rsid w:val="7AAC0A0E"/>
    <w:rsid w:val="7B306E47"/>
    <w:rsid w:val="7BD77DB7"/>
    <w:rsid w:val="7C3F595C"/>
    <w:rsid w:val="7C683BAE"/>
    <w:rsid w:val="7CBD0742"/>
    <w:rsid w:val="7D7D55A3"/>
    <w:rsid w:val="7E3C60AD"/>
    <w:rsid w:val="7EEF5417"/>
    <w:rsid w:val="7F0D3AEF"/>
    <w:rsid w:val="7F7871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0"/>
    <w:autoRedefine/>
    <w:unhideWhenUsed/>
    <w:qFormat/>
    <w:uiPriority w:val="0"/>
    <w:pPr>
      <w:jc w:val="left"/>
    </w:pPr>
  </w:style>
  <w:style w:type="paragraph" w:styleId="20">
    <w:name w:val="Body Text 3"/>
    <w:basedOn w:val="1"/>
    <w:link w:val="121"/>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1"/>
    <w:link w:val="123"/>
    <w:autoRedefine/>
    <w:qFormat/>
    <w:uiPriority w:val="0"/>
    <w:rPr>
      <w:rFonts w:ascii="仿宋_GB2312" w:hAnsi="Times New Roman" w:eastAsia="仿宋_GB2312" w:cs="Times New Roman"/>
      <w:sz w:val="32"/>
      <w:szCs w:val="20"/>
    </w:rPr>
  </w:style>
  <w:style w:type="paragraph" w:styleId="23">
    <w:name w:val="Body Text Indent"/>
    <w:basedOn w:val="1"/>
    <w:link w:val="104"/>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1"/>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autoRedefine/>
    <w:qFormat/>
    <w:uiPriority w:val="0"/>
    <w:rPr>
      <w:sz w:val="28"/>
    </w:rPr>
  </w:style>
  <w:style w:type="paragraph" w:styleId="33">
    <w:name w:val="Body Text Indent 2"/>
    <w:basedOn w:val="1"/>
    <w:link w:val="77"/>
    <w:autoRedefine/>
    <w:qFormat/>
    <w:uiPriority w:val="0"/>
    <w:pPr>
      <w:snapToGrid w:val="0"/>
      <w:spacing w:line="560" w:lineRule="atLeast"/>
      <w:ind w:firstLine="540"/>
    </w:pPr>
    <w:rPr>
      <w:sz w:val="28"/>
    </w:rPr>
  </w:style>
  <w:style w:type="paragraph" w:styleId="34">
    <w:name w:val="Balloon Text"/>
    <w:basedOn w:val="1"/>
    <w:link w:val="132"/>
    <w:autoRedefine/>
    <w:qFormat/>
    <w:uiPriority w:val="0"/>
    <w:rPr>
      <w:rFonts w:ascii="Times New Roman" w:hAnsi="Times New Roman" w:eastAsia="宋体" w:cs="Times New Roman"/>
      <w:sz w:val="18"/>
      <w:szCs w:val="20"/>
    </w:rPr>
  </w:style>
  <w:style w:type="paragraph" w:styleId="35">
    <w:name w:val="footer"/>
    <w:basedOn w:val="1"/>
    <w:link w:val="105"/>
    <w:autoRedefine/>
    <w:qFormat/>
    <w:uiPriority w:val="99"/>
    <w:pPr>
      <w:tabs>
        <w:tab w:val="center" w:pos="4153"/>
        <w:tab w:val="right" w:pos="8306"/>
      </w:tabs>
      <w:snapToGrid w:val="0"/>
      <w:jc w:val="left"/>
    </w:pPr>
    <w:rPr>
      <w:sz w:val="18"/>
    </w:rPr>
  </w:style>
  <w:style w:type="paragraph" w:styleId="36">
    <w:name w:val="header"/>
    <w:basedOn w:val="1"/>
    <w:link w:val="116"/>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autoRedefine/>
    <w:qFormat/>
    <w:uiPriority w:val="0"/>
    <w:rPr>
      <w:sz w:val="24"/>
    </w:rPr>
  </w:style>
  <w:style w:type="paragraph" w:styleId="56">
    <w:name w:val="Body Text First Indent"/>
    <w:basedOn w:val="1"/>
    <w:link w:val="133"/>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character" w:customStyle="1" w:styleId="68">
    <w:name w:val="标题 1 Char"/>
    <w:basedOn w:val="60"/>
    <w:link w:val="2"/>
    <w:autoRedefine/>
    <w:qFormat/>
    <w:uiPriority w:val="0"/>
    <w:rPr>
      <w:rFonts w:ascii="宋体" w:hAnsi="Times New Roman" w:eastAsia="宋体" w:cs="Times New Roman"/>
      <w:sz w:val="28"/>
      <w:szCs w:val="20"/>
    </w:rPr>
  </w:style>
  <w:style w:type="character" w:customStyle="1" w:styleId="69">
    <w:name w:val="标题 2 Char"/>
    <w:basedOn w:val="60"/>
    <w:link w:val="3"/>
    <w:autoRedefine/>
    <w:qFormat/>
    <w:uiPriority w:val="0"/>
    <w:rPr>
      <w:rFonts w:ascii="Arial" w:hAnsi="Arial" w:eastAsia="黑体" w:cs="Times New Roman"/>
      <w:b/>
      <w:sz w:val="32"/>
      <w:szCs w:val="20"/>
    </w:rPr>
  </w:style>
  <w:style w:type="character" w:customStyle="1" w:styleId="70">
    <w:name w:val="标题 3 Char"/>
    <w:basedOn w:val="60"/>
    <w:link w:val="4"/>
    <w:autoRedefine/>
    <w:qFormat/>
    <w:uiPriority w:val="0"/>
    <w:rPr>
      <w:rFonts w:ascii="Times New Roman" w:hAnsi="Times New Roman" w:eastAsia="宋体" w:cs="Times New Roman"/>
      <w:b/>
      <w:sz w:val="32"/>
      <w:szCs w:val="20"/>
    </w:rPr>
  </w:style>
  <w:style w:type="character" w:customStyle="1" w:styleId="71">
    <w:name w:val="标题 4 Char"/>
    <w:basedOn w:val="60"/>
    <w:link w:val="5"/>
    <w:autoRedefine/>
    <w:qFormat/>
    <w:uiPriority w:val="0"/>
    <w:rPr>
      <w:rFonts w:ascii="Arial" w:hAnsi="Arial" w:eastAsia="黑体" w:cs="Times New Roman"/>
      <w:b/>
      <w:sz w:val="28"/>
      <w:szCs w:val="20"/>
    </w:rPr>
  </w:style>
  <w:style w:type="character" w:customStyle="1" w:styleId="72">
    <w:name w:val="标题 5 Char"/>
    <w:basedOn w:val="60"/>
    <w:link w:val="6"/>
    <w:autoRedefine/>
    <w:qFormat/>
    <w:uiPriority w:val="0"/>
    <w:rPr>
      <w:rFonts w:ascii="Times New Roman" w:hAnsi="Times New Roman" w:eastAsia="宋体" w:cs="Times New Roman"/>
      <w:b/>
      <w:sz w:val="28"/>
      <w:szCs w:val="20"/>
    </w:rPr>
  </w:style>
  <w:style w:type="character" w:customStyle="1" w:styleId="73">
    <w:name w:val="标题 6 Char"/>
    <w:basedOn w:val="60"/>
    <w:link w:val="7"/>
    <w:autoRedefine/>
    <w:qFormat/>
    <w:uiPriority w:val="0"/>
    <w:rPr>
      <w:rFonts w:ascii="Arial" w:hAnsi="Arial" w:eastAsia="黑体" w:cs="Times New Roman"/>
      <w:b/>
      <w:sz w:val="24"/>
      <w:szCs w:val="20"/>
    </w:rPr>
  </w:style>
  <w:style w:type="character" w:customStyle="1" w:styleId="74">
    <w:name w:val="标题 7 Char"/>
    <w:basedOn w:val="60"/>
    <w:link w:val="8"/>
    <w:autoRedefine/>
    <w:qFormat/>
    <w:uiPriority w:val="0"/>
    <w:rPr>
      <w:rFonts w:ascii="Arial" w:hAnsi="Arial" w:eastAsia="黑体" w:cs="Times New Roman"/>
      <w:b/>
      <w:sz w:val="24"/>
      <w:szCs w:val="20"/>
    </w:rPr>
  </w:style>
  <w:style w:type="character" w:customStyle="1" w:styleId="75">
    <w:name w:val="标题 8 Char"/>
    <w:basedOn w:val="60"/>
    <w:link w:val="9"/>
    <w:autoRedefine/>
    <w:qFormat/>
    <w:uiPriority w:val="0"/>
    <w:rPr>
      <w:rFonts w:ascii="Arial" w:hAnsi="Arial" w:eastAsia="黑体" w:cs="Times New Roman"/>
      <w:b/>
      <w:sz w:val="24"/>
      <w:szCs w:val="20"/>
    </w:rPr>
  </w:style>
  <w:style w:type="character" w:customStyle="1" w:styleId="76">
    <w:name w:val="标题 9 Char"/>
    <w:basedOn w:val="60"/>
    <w:link w:val="10"/>
    <w:autoRedefine/>
    <w:qFormat/>
    <w:uiPriority w:val="0"/>
    <w:rPr>
      <w:rFonts w:ascii="Arial" w:hAnsi="Arial" w:eastAsia="黑体" w:cs="Times New Roman"/>
      <w:b/>
      <w:sz w:val="24"/>
      <w:szCs w:val="20"/>
    </w:rPr>
  </w:style>
  <w:style w:type="character" w:customStyle="1" w:styleId="77">
    <w:name w:val="正文文本缩进 2 Char"/>
    <w:link w:val="33"/>
    <w:autoRedefine/>
    <w:qFormat/>
    <w:uiPriority w:val="0"/>
    <w:rPr>
      <w:sz w:val="28"/>
    </w:rPr>
  </w:style>
  <w:style w:type="character" w:customStyle="1" w:styleId="78">
    <w:name w:val="脚注文本 Char"/>
    <w:link w:val="40"/>
    <w:autoRedefine/>
    <w:qFormat/>
    <w:uiPriority w:val="0"/>
    <w:rPr>
      <w:sz w:val="18"/>
    </w:rPr>
  </w:style>
  <w:style w:type="character" w:customStyle="1" w:styleId="79">
    <w:name w:val="批注主题 Char"/>
    <w:basedOn w:val="80"/>
    <w:link w:val="55"/>
    <w:autoRedefine/>
    <w:qFormat/>
    <w:uiPriority w:val="0"/>
    <w:rPr>
      <w:sz w:val="24"/>
    </w:rPr>
  </w:style>
  <w:style w:type="character" w:customStyle="1" w:styleId="80">
    <w:name w:val="批注文字 Char"/>
    <w:autoRedefine/>
    <w:qFormat/>
    <w:uiPriority w:val="0"/>
    <w:rPr>
      <w:sz w:val="24"/>
    </w:rPr>
  </w:style>
  <w:style w:type="character" w:customStyle="1" w:styleId="81">
    <w:name w:val="Char Char4"/>
    <w:autoRedefine/>
    <w:qFormat/>
    <w:uiPriority w:val="0"/>
    <w:rPr>
      <w:rFonts w:eastAsia="宋体"/>
      <w:b/>
      <w:kern w:val="2"/>
      <w:sz w:val="21"/>
      <w:lang w:val="en-US" w:eastAsia="zh-CN"/>
    </w:rPr>
  </w:style>
  <w:style w:type="character" w:customStyle="1" w:styleId="82">
    <w:name w:val="文字 Char"/>
    <w:link w:val="83"/>
    <w:autoRedefine/>
    <w:qFormat/>
    <w:uiPriority w:val="0"/>
    <w:rPr>
      <w:rFonts w:ascii="宋体"/>
      <w:sz w:val="28"/>
    </w:rPr>
  </w:style>
  <w:style w:type="paragraph" w:customStyle="1" w:styleId="83">
    <w:name w:val="文字"/>
    <w:basedOn w:val="1"/>
    <w:link w:val="82"/>
    <w:autoRedefine/>
    <w:qFormat/>
    <w:uiPriority w:val="0"/>
    <w:pPr>
      <w:tabs>
        <w:tab w:val="left" w:pos="8520"/>
      </w:tabs>
      <w:spacing w:line="312" w:lineRule="auto"/>
      <w:ind w:right="-210" w:firstLine="556"/>
    </w:pPr>
    <w:rPr>
      <w:rFonts w:ascii="宋体"/>
      <w:sz w:val="28"/>
    </w:rPr>
  </w:style>
  <w:style w:type="character" w:customStyle="1" w:styleId="84">
    <w:name w:val="content-white1"/>
    <w:autoRedefine/>
    <w:qFormat/>
    <w:uiPriority w:val="0"/>
    <w:rPr>
      <w:color w:val="auto"/>
      <w:sz w:val="18"/>
      <w:u w:val="none"/>
    </w:rPr>
  </w:style>
  <w:style w:type="character" w:customStyle="1" w:styleId="85">
    <w:name w:val="top-det1"/>
    <w:autoRedefine/>
    <w:qFormat/>
    <w:uiPriority w:val="0"/>
    <w:rPr>
      <w:b/>
      <w:color w:val="000000"/>
    </w:rPr>
  </w:style>
  <w:style w:type="character" w:customStyle="1" w:styleId="86">
    <w:name w:val="正文 + 三号 Char"/>
    <w:autoRedefine/>
    <w:qFormat/>
    <w:uiPriority w:val="0"/>
    <w:rPr>
      <w:rFonts w:eastAsia="宋体"/>
      <w:kern w:val="2"/>
      <w:sz w:val="21"/>
      <w:lang w:val="en-US" w:eastAsia="zh-CN"/>
    </w:rPr>
  </w:style>
  <w:style w:type="character" w:customStyle="1" w:styleId="87">
    <w:name w:val="Char Char11"/>
    <w:autoRedefine/>
    <w:qFormat/>
    <w:uiPriority w:val="0"/>
    <w:rPr>
      <w:rFonts w:ascii="宋体"/>
      <w:kern w:val="2"/>
      <w:sz w:val="28"/>
    </w:rPr>
  </w:style>
  <w:style w:type="character" w:customStyle="1" w:styleId="88">
    <w:name w:val="Char Char6"/>
    <w:autoRedefine/>
    <w:qFormat/>
    <w:uiPriority w:val="0"/>
    <w:rPr>
      <w:rFonts w:ascii="仿宋_GB2312" w:eastAsia="仿宋_GB2312"/>
      <w:kern w:val="2"/>
      <w:sz w:val="32"/>
    </w:rPr>
  </w:style>
  <w:style w:type="character" w:customStyle="1" w:styleId="89">
    <w:name w:val="Char Char5"/>
    <w:autoRedefine/>
    <w:qFormat/>
    <w:uiPriority w:val="0"/>
    <w:rPr>
      <w:rFonts w:ascii="Arial" w:hAnsi="Arial" w:eastAsia="宋体"/>
      <w:b/>
      <w:smallCaps/>
      <w:kern w:val="28"/>
      <w:sz w:val="36"/>
      <w:lang w:val="en-US" w:eastAsia="en-US"/>
    </w:rPr>
  </w:style>
  <w:style w:type="character" w:customStyle="1" w:styleId="90">
    <w:name w:val="标书正文:  0.74 厘米 Char1"/>
    <w:autoRedefine/>
    <w:qFormat/>
    <w:uiPriority w:val="0"/>
    <w:rPr>
      <w:rFonts w:eastAsia="宋体"/>
      <w:kern w:val="2"/>
      <w:sz w:val="24"/>
      <w:lang w:val="en-US" w:eastAsia="zh-CN"/>
    </w:rPr>
  </w:style>
  <w:style w:type="character" w:customStyle="1" w:styleId="91">
    <w:name w:val="纯文本 Char"/>
    <w:link w:val="30"/>
    <w:autoRedefine/>
    <w:qFormat/>
    <w:uiPriority w:val="0"/>
    <w:rPr>
      <w:rFonts w:ascii="宋体" w:hAnsi="Courier New"/>
    </w:rPr>
  </w:style>
  <w:style w:type="character" w:customStyle="1" w:styleId="92">
    <w:name w:val="crowed11"/>
    <w:autoRedefine/>
    <w:qFormat/>
    <w:uiPriority w:val="0"/>
    <w:rPr>
      <w:rFonts w:hint="default"/>
      <w:sz w:val="24"/>
    </w:rPr>
  </w:style>
  <w:style w:type="character" w:customStyle="1" w:styleId="93">
    <w:name w:val="Table Text Char Char Char Char"/>
    <w:link w:val="94"/>
    <w:autoRedefine/>
    <w:qFormat/>
    <w:uiPriority w:val="0"/>
    <w:rPr>
      <w:rFonts w:ascii="Arial" w:hAnsi="Arial"/>
      <w:sz w:val="18"/>
    </w:rPr>
  </w:style>
  <w:style w:type="paragraph" w:customStyle="1" w:styleId="94">
    <w:name w:val="Table Text Char Char Char"/>
    <w:link w:val="93"/>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autoRedefine/>
    <w:qFormat/>
    <w:uiPriority w:val="0"/>
    <w:rPr>
      <w:rFonts w:ascii="宋体" w:hAnsi="宋体" w:eastAsia="宋体"/>
      <w:kern w:val="2"/>
      <w:sz w:val="28"/>
    </w:rPr>
  </w:style>
  <w:style w:type="character" w:customStyle="1" w:styleId="96">
    <w:name w:val="未命名11"/>
    <w:autoRedefine/>
    <w:qFormat/>
    <w:uiPriority w:val="0"/>
    <w:rPr>
      <w:color w:val="77FFFF"/>
      <w:sz w:val="24"/>
    </w:rPr>
  </w:style>
  <w:style w:type="character" w:customStyle="1" w:styleId="97">
    <w:name w:val="小 Char"/>
    <w:autoRedefine/>
    <w:qFormat/>
    <w:uiPriority w:val="0"/>
    <w:rPr>
      <w:rFonts w:ascii="宋体" w:hAnsi="Courier New" w:eastAsia="宋体"/>
      <w:kern w:val="2"/>
      <w:sz w:val="21"/>
      <w:lang w:val="en-US" w:eastAsia="zh-CN" w:bidi="ar-SA"/>
    </w:rPr>
  </w:style>
  <w:style w:type="character" w:customStyle="1" w:styleId="98">
    <w:name w:val="Char Char3"/>
    <w:autoRedefine/>
    <w:qFormat/>
    <w:uiPriority w:val="0"/>
    <w:rPr>
      <w:rFonts w:eastAsia="宋体"/>
      <w:kern w:val="2"/>
      <w:sz w:val="18"/>
      <w:lang w:val="en-US" w:eastAsia="zh-CN"/>
    </w:rPr>
  </w:style>
  <w:style w:type="character" w:customStyle="1" w:styleId="99">
    <w:name w:val="title_emph1"/>
    <w:autoRedefine/>
    <w:qFormat/>
    <w:uiPriority w:val="0"/>
    <w:rPr>
      <w:rFonts w:hint="default" w:ascii="Arial" w:hAnsi="Arial"/>
      <w:b/>
      <w:sz w:val="20"/>
    </w:rPr>
  </w:style>
  <w:style w:type="character" w:customStyle="1" w:styleId="100">
    <w:name w:val="Table Text Char"/>
    <w:link w:val="101"/>
    <w:autoRedefine/>
    <w:qFormat/>
    <w:uiPriority w:val="0"/>
    <w:rPr>
      <w:rFonts w:ascii="Arial" w:hAnsi="Arial"/>
      <w:sz w:val="18"/>
    </w:rPr>
  </w:style>
  <w:style w:type="paragraph" w:customStyle="1" w:styleId="101">
    <w:name w:val="Table Text"/>
    <w:link w:val="100"/>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autoRedefine/>
    <w:qFormat/>
    <w:uiPriority w:val="0"/>
    <w:rPr>
      <w:rFonts w:ascii="宋体" w:hAnsi="宋体" w:eastAsia="宋体"/>
      <w:sz w:val="28"/>
    </w:rPr>
  </w:style>
  <w:style w:type="character" w:customStyle="1" w:styleId="103">
    <w:name w:val="正文首行缩进 2 Char"/>
    <w:basedOn w:val="104"/>
    <w:link w:val="57"/>
    <w:autoRedefine/>
    <w:qFormat/>
    <w:uiPriority w:val="0"/>
    <w:rPr>
      <w:sz w:val="44"/>
    </w:rPr>
  </w:style>
  <w:style w:type="character" w:customStyle="1" w:styleId="104">
    <w:name w:val="正文文本缩进 Char"/>
    <w:link w:val="23"/>
    <w:autoRedefine/>
    <w:qFormat/>
    <w:uiPriority w:val="0"/>
    <w:rPr>
      <w:sz w:val="44"/>
    </w:rPr>
  </w:style>
  <w:style w:type="character" w:customStyle="1" w:styleId="105">
    <w:name w:val="页脚 Char"/>
    <w:link w:val="35"/>
    <w:autoRedefine/>
    <w:qFormat/>
    <w:uiPriority w:val="99"/>
    <w:rPr>
      <w:sz w:val="18"/>
    </w:rPr>
  </w:style>
  <w:style w:type="character" w:customStyle="1" w:styleId="106">
    <w:name w:val="Table Heading Char Char"/>
    <w:autoRedefine/>
    <w:qFormat/>
    <w:uiPriority w:val="0"/>
    <w:rPr>
      <w:rFonts w:ascii="Arial" w:hAnsi="Arial" w:eastAsia="黑体"/>
      <w:kern w:val="2"/>
      <w:sz w:val="18"/>
      <w:lang w:val="en-US" w:eastAsia="zh-CN"/>
    </w:rPr>
  </w:style>
  <w:style w:type="character" w:customStyle="1" w:styleId="107">
    <w:name w:val="日期 Char"/>
    <w:link w:val="32"/>
    <w:autoRedefine/>
    <w:qFormat/>
    <w:uiPriority w:val="0"/>
    <w:rPr>
      <w:sz w:val="28"/>
    </w:rPr>
  </w:style>
  <w:style w:type="character" w:customStyle="1" w:styleId="108">
    <w:name w:val="font1"/>
    <w:autoRedefine/>
    <w:qFormat/>
    <w:uiPriority w:val="0"/>
    <w:rPr>
      <w:color w:val="000000"/>
      <w:sz w:val="18"/>
    </w:rPr>
  </w:style>
  <w:style w:type="character" w:customStyle="1" w:styleId="109">
    <w:name w:val="Char Char2"/>
    <w:autoRedefine/>
    <w:qFormat/>
    <w:uiPriority w:val="0"/>
    <w:rPr>
      <w:rFonts w:eastAsia="宋体"/>
      <w:kern w:val="2"/>
      <w:sz w:val="18"/>
      <w:lang w:val="en-US" w:eastAsia="zh-CN"/>
    </w:rPr>
  </w:style>
  <w:style w:type="character" w:customStyle="1" w:styleId="110">
    <w:name w:val="H2 Char"/>
    <w:autoRedefine/>
    <w:qFormat/>
    <w:uiPriority w:val="0"/>
    <w:rPr>
      <w:rFonts w:ascii="Arial" w:hAnsi="Arial" w:eastAsia="宋体"/>
      <w:kern w:val="2"/>
      <w:sz w:val="28"/>
      <w:lang w:val="en-US" w:eastAsia="zh-CN"/>
    </w:rPr>
  </w:style>
  <w:style w:type="character" w:customStyle="1" w:styleId="111">
    <w:name w:val="v151"/>
    <w:autoRedefine/>
    <w:qFormat/>
    <w:uiPriority w:val="0"/>
    <w:rPr>
      <w:sz w:val="18"/>
    </w:rPr>
  </w:style>
  <w:style w:type="character" w:customStyle="1" w:styleId="112">
    <w:name w:val="Table Text Char1 Char"/>
    <w:autoRedefine/>
    <w:qFormat/>
    <w:uiPriority w:val="0"/>
    <w:rPr>
      <w:rFonts w:ascii="Arial" w:hAnsi="Arial"/>
      <w:kern w:val="2"/>
      <w:sz w:val="18"/>
      <w:lang w:val="en-US" w:eastAsia="zh-CN" w:bidi="ar-SA"/>
    </w:rPr>
  </w:style>
  <w:style w:type="character" w:customStyle="1" w:styleId="113">
    <w:name w:val="HTML 预设格式 Char"/>
    <w:link w:val="50"/>
    <w:autoRedefine/>
    <w:qFormat/>
    <w:uiPriority w:val="0"/>
    <w:rPr>
      <w:rFonts w:ascii="宋体" w:hAnsi="宋体" w:cs="宋体"/>
      <w:sz w:val="24"/>
      <w:szCs w:val="24"/>
    </w:rPr>
  </w:style>
  <w:style w:type="character" w:customStyle="1" w:styleId="114">
    <w:name w:val="Char Char"/>
    <w:autoRedefine/>
    <w:qFormat/>
    <w:uiPriority w:val="0"/>
    <w:rPr>
      <w:rFonts w:ascii="宋体" w:hAnsi="宋体" w:eastAsia="宋体"/>
      <w:kern w:val="2"/>
      <w:sz w:val="24"/>
      <w:lang w:val="en-US" w:eastAsia="zh-CN" w:bidi="ar-SA"/>
    </w:rPr>
  </w:style>
  <w:style w:type="character" w:customStyle="1" w:styleId="115">
    <w:name w:val="脚注文本 Char1"/>
    <w:basedOn w:val="60"/>
    <w:autoRedefine/>
    <w:semiHidden/>
    <w:qFormat/>
    <w:uiPriority w:val="99"/>
    <w:rPr>
      <w:sz w:val="18"/>
      <w:szCs w:val="18"/>
    </w:rPr>
  </w:style>
  <w:style w:type="character" w:customStyle="1" w:styleId="116">
    <w:name w:val="页眉 Char"/>
    <w:basedOn w:val="60"/>
    <w:link w:val="36"/>
    <w:autoRedefine/>
    <w:qFormat/>
    <w:uiPriority w:val="0"/>
    <w:rPr>
      <w:rFonts w:ascii="Times New Roman" w:hAnsi="Times New Roman" w:eastAsia="宋体" w:cs="Times New Roman"/>
      <w:sz w:val="18"/>
      <w:szCs w:val="20"/>
    </w:rPr>
  </w:style>
  <w:style w:type="character" w:customStyle="1" w:styleId="117">
    <w:name w:val="正文文本缩进 Char1"/>
    <w:basedOn w:val="60"/>
    <w:autoRedefine/>
    <w:semiHidden/>
    <w:qFormat/>
    <w:uiPriority w:val="99"/>
  </w:style>
  <w:style w:type="character" w:customStyle="1" w:styleId="118">
    <w:name w:val="文档结构图 Char"/>
    <w:basedOn w:val="60"/>
    <w:link w:val="17"/>
    <w:autoRedefine/>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autoRedefine/>
    <w:semiHidden/>
    <w:qFormat/>
    <w:uiPriority w:val="99"/>
    <w:rPr>
      <w:sz w:val="18"/>
      <w:szCs w:val="18"/>
    </w:rPr>
  </w:style>
  <w:style w:type="character" w:customStyle="1" w:styleId="120">
    <w:name w:val="正文文本缩进 3 Char"/>
    <w:basedOn w:val="60"/>
    <w:link w:val="43"/>
    <w:autoRedefine/>
    <w:qFormat/>
    <w:uiPriority w:val="0"/>
    <w:rPr>
      <w:rFonts w:ascii="黑体" w:hAnsi="Times New Roman" w:eastAsia="黑体" w:cs="Times New Roman"/>
      <w:sz w:val="28"/>
      <w:szCs w:val="20"/>
    </w:rPr>
  </w:style>
  <w:style w:type="character" w:customStyle="1" w:styleId="121">
    <w:name w:val="正文文本 3 Char"/>
    <w:basedOn w:val="60"/>
    <w:link w:val="20"/>
    <w:autoRedefine/>
    <w:qFormat/>
    <w:uiPriority w:val="0"/>
    <w:rPr>
      <w:rFonts w:ascii="Times New Roman" w:hAnsi="Times New Roman" w:eastAsia="宋体" w:cs="Times New Roman"/>
      <w:sz w:val="16"/>
      <w:szCs w:val="20"/>
    </w:rPr>
  </w:style>
  <w:style w:type="character" w:customStyle="1" w:styleId="122">
    <w:name w:val="正文文本 2 Char"/>
    <w:basedOn w:val="60"/>
    <w:link w:val="47"/>
    <w:autoRedefine/>
    <w:qFormat/>
    <w:uiPriority w:val="0"/>
    <w:rPr>
      <w:rFonts w:ascii="Times New Roman" w:hAnsi="Times New Roman" w:eastAsia="宋体" w:cs="Times New Roman"/>
      <w:sz w:val="24"/>
      <w:szCs w:val="20"/>
    </w:rPr>
  </w:style>
  <w:style w:type="character" w:customStyle="1" w:styleId="123">
    <w:name w:val="正文文本 Char"/>
    <w:basedOn w:val="60"/>
    <w:link w:val="22"/>
    <w:autoRedefine/>
    <w:qFormat/>
    <w:uiPriority w:val="0"/>
    <w:rPr>
      <w:rFonts w:ascii="仿宋_GB2312" w:hAnsi="Times New Roman" w:eastAsia="仿宋_GB2312" w:cs="Times New Roman"/>
      <w:sz w:val="32"/>
      <w:szCs w:val="20"/>
    </w:rPr>
  </w:style>
  <w:style w:type="character" w:customStyle="1" w:styleId="124">
    <w:name w:val="正文文本缩进 2 Char1"/>
    <w:basedOn w:val="60"/>
    <w:autoRedefine/>
    <w:semiHidden/>
    <w:qFormat/>
    <w:uiPriority w:val="99"/>
  </w:style>
  <w:style w:type="character" w:customStyle="1" w:styleId="125">
    <w:name w:val="正文首行缩进 2 Char1"/>
    <w:basedOn w:val="117"/>
    <w:autoRedefine/>
    <w:semiHidden/>
    <w:qFormat/>
    <w:uiPriority w:val="99"/>
  </w:style>
  <w:style w:type="character" w:customStyle="1" w:styleId="126">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autoRedefine/>
    <w:semiHidden/>
    <w:qFormat/>
    <w:uiPriority w:val="99"/>
    <w:rPr>
      <w:rFonts w:ascii="Courier New" w:hAnsi="Courier New" w:cs="Courier New"/>
      <w:sz w:val="20"/>
      <w:szCs w:val="20"/>
    </w:rPr>
  </w:style>
  <w:style w:type="character" w:customStyle="1" w:styleId="128">
    <w:name w:val="日期 Char1"/>
    <w:basedOn w:val="60"/>
    <w:autoRedefine/>
    <w:semiHidden/>
    <w:qFormat/>
    <w:uiPriority w:val="99"/>
  </w:style>
  <w:style w:type="character" w:customStyle="1" w:styleId="129">
    <w:name w:val="纯文本 Char1"/>
    <w:basedOn w:val="60"/>
    <w:autoRedefine/>
    <w:semiHidden/>
    <w:qFormat/>
    <w:uiPriority w:val="99"/>
    <w:rPr>
      <w:rFonts w:ascii="宋体" w:hAnsi="Courier New" w:eastAsia="宋体" w:cs="Courier New"/>
      <w:szCs w:val="21"/>
    </w:rPr>
  </w:style>
  <w:style w:type="character" w:customStyle="1" w:styleId="130">
    <w:name w:val="批注文字 Char1"/>
    <w:basedOn w:val="60"/>
    <w:link w:val="19"/>
    <w:autoRedefine/>
    <w:semiHidden/>
    <w:qFormat/>
    <w:uiPriority w:val="99"/>
  </w:style>
  <w:style w:type="character" w:customStyle="1" w:styleId="131">
    <w:name w:val="批注主题 Char1"/>
    <w:basedOn w:val="130"/>
    <w:autoRedefine/>
    <w:semiHidden/>
    <w:qFormat/>
    <w:uiPriority w:val="99"/>
    <w:rPr>
      <w:b/>
      <w:bCs/>
    </w:rPr>
  </w:style>
  <w:style w:type="character" w:customStyle="1" w:styleId="132">
    <w:name w:val="批注框文本 Char"/>
    <w:basedOn w:val="60"/>
    <w:link w:val="34"/>
    <w:autoRedefine/>
    <w:qFormat/>
    <w:uiPriority w:val="0"/>
    <w:rPr>
      <w:rFonts w:ascii="Times New Roman" w:hAnsi="Times New Roman" w:eastAsia="宋体" w:cs="Times New Roman"/>
      <w:sz w:val="18"/>
      <w:szCs w:val="20"/>
    </w:rPr>
  </w:style>
  <w:style w:type="character" w:customStyle="1" w:styleId="133">
    <w:name w:val="正文首行缩进 Char"/>
    <w:basedOn w:val="123"/>
    <w:link w:val="56"/>
    <w:autoRedefine/>
    <w:qFormat/>
    <w:uiPriority w:val="0"/>
    <w:rPr>
      <w:rFonts w:ascii="宋体" w:hAnsi="宋体" w:eastAsia="宋体" w:cs="Times New Roman"/>
      <w:sz w:val="24"/>
      <w:szCs w:val="20"/>
    </w:rPr>
  </w:style>
  <w:style w:type="paragraph" w:customStyle="1" w:styleId="134">
    <w:name w:val="正文 + 三号"/>
    <w:basedOn w:val="1"/>
    <w:autoRedefine/>
    <w:qFormat/>
    <w:uiPriority w:val="0"/>
    <w:rPr>
      <w:rFonts w:ascii="Times New Roman" w:hAnsi="Times New Roman" w:eastAsia="宋体" w:cs="Times New Roman"/>
      <w:szCs w:val="20"/>
    </w:rPr>
  </w:style>
  <w:style w:type="paragraph" w:customStyle="1" w:styleId="135">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autoRedefine/>
    <w:qFormat/>
    <w:uiPriority w:val="0"/>
    <w:pPr>
      <w:tabs>
        <w:tab w:val="left" w:pos="2120"/>
      </w:tabs>
      <w:ind w:firstLine="0" w:firstLineChars="0"/>
    </w:pPr>
    <w:rPr>
      <w:b/>
    </w:rPr>
  </w:style>
  <w:style w:type="paragraph" w:customStyle="1" w:styleId="138">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autoRedefine/>
    <w:qFormat/>
    <w:uiPriority w:val="0"/>
    <w:rPr>
      <w:rFonts w:ascii="Times New Roman" w:hAnsi="Times New Roman" w:eastAsia="宋体" w:cs="Times New Roman"/>
      <w:szCs w:val="20"/>
    </w:rPr>
  </w:style>
  <w:style w:type="paragraph" w:customStyle="1" w:styleId="140">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49">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0">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5">
    <w:name w:val="表格内文字"/>
    <w:basedOn w:val="30"/>
    <w:autoRedefine/>
    <w:qFormat/>
    <w:uiPriority w:val="0"/>
    <w:pPr>
      <w:adjustRightInd w:val="0"/>
    </w:pPr>
    <w:rPr>
      <w:color w:val="000000"/>
      <w:lang w:val="en-GB"/>
    </w:rPr>
  </w:style>
  <w:style w:type="paragraph" w:customStyle="1" w:styleId="156">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autoRedefine/>
    <w:qFormat/>
    <w:uiPriority w:val="0"/>
    <w:pPr>
      <w:tabs>
        <w:tab w:val="left" w:pos="720"/>
      </w:tabs>
      <w:spacing w:before="500" w:after="260" w:line="560" w:lineRule="atLeast"/>
      <w:ind w:left="420" w:hanging="420"/>
    </w:pPr>
  </w:style>
  <w:style w:type="paragraph" w:customStyle="1" w:styleId="163">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2">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79">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autoRedefine/>
    <w:qFormat/>
    <w:uiPriority w:val="0"/>
    <w:rPr>
      <w:rFonts w:ascii="Tahoma" w:hAnsi="Tahoma" w:eastAsia="宋体" w:cs="Times New Roman"/>
      <w:sz w:val="24"/>
      <w:szCs w:val="20"/>
    </w:rPr>
  </w:style>
  <w:style w:type="paragraph" w:customStyle="1" w:styleId="183">
    <w:name w:val="编号正文"/>
    <w:basedOn w:val="184"/>
    <w:autoRedefine/>
    <w:qFormat/>
    <w:uiPriority w:val="0"/>
    <w:pPr>
      <w:snapToGrid/>
      <w:spacing w:line="360" w:lineRule="auto"/>
      <w:ind w:left="1407" w:hanging="1047"/>
      <w:jc w:val="left"/>
    </w:pPr>
    <w:rPr>
      <w:rFonts w:eastAsia="仿宋_GB2312"/>
    </w:rPr>
  </w:style>
  <w:style w:type="paragraph" w:customStyle="1" w:styleId="184">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autoRedefine/>
    <w:qFormat/>
    <w:uiPriority w:val="0"/>
    <w:rPr>
      <w:rFonts w:ascii="仿宋_GB2312" w:hAnsi="Times New Roman" w:eastAsia="宋体" w:cs="Times New Roman"/>
      <w:b/>
      <w:sz w:val="30"/>
      <w:szCs w:val="20"/>
    </w:rPr>
  </w:style>
  <w:style w:type="paragraph" w:customStyle="1" w:styleId="187">
    <w:name w:val="Table Contents"/>
    <w:basedOn w:val="22"/>
    <w:autoRedefine/>
    <w:qFormat/>
    <w:uiPriority w:val="0"/>
    <w:pPr>
      <w:suppressAutoHyphens/>
      <w:jc w:val="left"/>
    </w:pPr>
    <w:rPr>
      <w:rFonts w:ascii="Times New Roman" w:eastAsia="Times New Roman"/>
      <w:kern w:val="0"/>
      <w:sz w:val="24"/>
    </w:rPr>
  </w:style>
  <w:style w:type="paragraph" w:customStyle="1" w:styleId="188">
    <w:name w:val="Char Char Char"/>
    <w:basedOn w:val="1"/>
    <w:autoRedefine/>
    <w:qFormat/>
    <w:uiPriority w:val="0"/>
    <w:rPr>
      <w:rFonts w:ascii="Tahoma" w:hAnsi="Tahoma" w:eastAsia="宋体" w:cs="Times New Roman"/>
      <w:sz w:val="24"/>
      <w:szCs w:val="20"/>
    </w:rPr>
  </w:style>
  <w:style w:type="paragraph" w:customStyle="1" w:styleId="189">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autoRedefine/>
    <w:qFormat/>
    <w:uiPriority w:val="0"/>
    <w:pPr>
      <w:spacing w:before="720"/>
    </w:pPr>
  </w:style>
  <w:style w:type="paragraph" w:customStyle="1" w:styleId="192">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4">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autoRedefine/>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autoRedefine/>
    <w:qFormat/>
    <w:uiPriority w:val="0"/>
    <w:pPr>
      <w:ind w:left="840"/>
      <w:outlineLvl w:val="3"/>
    </w:pPr>
  </w:style>
  <w:style w:type="paragraph" w:customStyle="1" w:styleId="203">
    <w:name w:val="一级条标题"/>
    <w:basedOn w:val="204"/>
    <w:next w:val="150"/>
    <w:autoRedefine/>
    <w:qFormat/>
    <w:uiPriority w:val="0"/>
    <w:pPr>
      <w:numPr>
        <w:numId w:val="0"/>
      </w:numPr>
      <w:spacing w:before="0" w:beforeLines="0" w:after="0" w:afterLines="0"/>
      <w:ind w:left="525"/>
      <w:outlineLvl w:val="2"/>
    </w:pPr>
    <w:rPr>
      <w:sz w:val="21"/>
    </w:rPr>
  </w:style>
  <w:style w:type="paragraph" w:customStyle="1" w:styleId="204">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autoRedefine/>
    <w:qFormat/>
    <w:uiPriority w:val="0"/>
    <w:rPr>
      <w:rFonts w:ascii="宋体" w:hAnsi="Courier New" w:eastAsia="宋体" w:cs="Times New Roman"/>
      <w:szCs w:val="20"/>
    </w:rPr>
  </w:style>
  <w:style w:type="paragraph" w:customStyle="1" w:styleId="209">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autoRedefine/>
    <w:qFormat/>
    <w:uiPriority w:val="0"/>
    <w:rPr>
      <w:rFonts w:ascii="Tahoma" w:hAnsi="Tahoma" w:eastAsia="宋体" w:cs="Times New Roman"/>
      <w:sz w:val="24"/>
      <w:szCs w:val="20"/>
    </w:rPr>
  </w:style>
  <w:style w:type="paragraph" w:customStyle="1" w:styleId="217">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1">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3">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autoRedefine/>
    <w:qFormat/>
    <w:uiPriority w:val="0"/>
    <w:rPr>
      <w:rFonts w:ascii="Tahoma" w:hAnsi="Tahoma"/>
      <w:sz w:val="24"/>
    </w:rPr>
  </w:style>
  <w:style w:type="paragraph" w:customStyle="1" w:styleId="225">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autoRedefine/>
    <w:qFormat/>
    <w:uiPriority w:val="0"/>
    <w:rPr>
      <w:rFonts w:ascii="Tahoma" w:hAnsi="Tahoma" w:eastAsia="宋体" w:cs="Times New Roman"/>
      <w:sz w:val="24"/>
      <w:szCs w:val="24"/>
    </w:rPr>
  </w:style>
  <w:style w:type="paragraph" w:customStyle="1" w:styleId="228">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autoRedefine/>
    <w:qFormat/>
    <w:uiPriority w:val="0"/>
    <w:rPr>
      <w:rFonts w:ascii="Tahoma" w:hAnsi="Tahoma" w:eastAsia="宋体" w:cs="Times New Roman"/>
      <w:sz w:val="30"/>
      <w:szCs w:val="20"/>
    </w:rPr>
  </w:style>
  <w:style w:type="paragraph" w:customStyle="1" w:styleId="234">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5"/>
    <w:autoRedefine/>
    <w:qFormat/>
    <w:uiPriority w:val="0"/>
    <w:pPr>
      <w:ind w:firstLine="480" w:firstLineChars="200"/>
    </w:pPr>
  </w:style>
  <w:style w:type="paragraph" w:customStyle="1" w:styleId="237">
    <w:name w:val="可研正文"/>
    <w:basedOn w:val="22"/>
    <w:autoRedefine/>
    <w:qFormat/>
    <w:uiPriority w:val="0"/>
    <w:pPr>
      <w:adjustRightInd w:val="0"/>
      <w:snapToGrid w:val="0"/>
      <w:spacing w:line="440" w:lineRule="exact"/>
      <w:ind w:firstLine="567"/>
    </w:pPr>
    <w:rPr>
      <w:sz w:val="28"/>
    </w:rPr>
  </w:style>
  <w:style w:type="paragraph" w:customStyle="1" w:styleId="238">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autoRedefine/>
    <w:qFormat/>
    <w:uiPriority w:val="0"/>
    <w:pPr>
      <w:spacing w:before="240" w:after="720"/>
    </w:pPr>
    <w:rPr>
      <w:sz w:val="28"/>
    </w:rPr>
  </w:style>
  <w:style w:type="paragraph" w:customStyle="1" w:styleId="240">
    <w:name w:val="标题3——2"/>
    <w:basedOn w:val="4"/>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5"/>
    <w:autoRedefine/>
    <w:qFormat/>
    <w:uiPriority w:val="0"/>
    <w:pPr>
      <w:adjustRightInd w:val="0"/>
      <w:snapToGrid w:val="0"/>
    </w:pPr>
  </w:style>
  <w:style w:type="paragraph" w:customStyle="1" w:styleId="242">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autoRedefine/>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autoRedefine/>
    <w:qFormat/>
    <w:uiPriority w:val="0"/>
    <w:rPr>
      <w:rFonts w:ascii="Times New Roman" w:hAnsi="Times New Roman" w:eastAsia="宋体" w:cs="Times New Roman"/>
      <w:szCs w:val="24"/>
    </w:rPr>
  </w:style>
  <w:style w:type="paragraph" w:customStyle="1" w:styleId="245">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autoRedefine/>
    <w:qFormat/>
    <w:uiPriority w:val="0"/>
    <w:rPr>
      <w:rFonts w:ascii="宋体" w:hAnsi="Tahoma"/>
    </w:rPr>
  </w:style>
  <w:style w:type="paragraph" w:customStyle="1" w:styleId="262">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7">
    <w:name w:val="田 一级小标题"/>
    <w:basedOn w:val="268"/>
    <w:next w:val="15"/>
    <w:autoRedefine/>
    <w:qFormat/>
    <w:uiPriority w:val="0"/>
    <w:rPr>
      <w:b/>
    </w:rPr>
  </w:style>
  <w:style w:type="paragraph" w:customStyle="1" w:styleId="268">
    <w:name w:val="正文-田"/>
    <w:basedOn w:val="1"/>
    <w:autoRedefine/>
    <w:qFormat/>
    <w:uiPriority w:val="0"/>
    <w:rPr>
      <w:rFonts w:eastAsia="仿宋"/>
      <w:sz w:val="28"/>
    </w:rPr>
  </w:style>
  <w:style w:type="paragraph" w:customStyle="1" w:styleId="269">
    <w:name w:val="标题-田"/>
    <w:basedOn w:val="268"/>
    <w:autoRedefine/>
    <w:qFormat/>
    <w:uiPriority w:val="0"/>
    <w:pPr>
      <w:jc w:val="center"/>
    </w:pPr>
    <w:rPr>
      <w:rFonts w:eastAsia="宋体"/>
      <w:sz w:val="36"/>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47</Pages>
  <Words>17614</Words>
  <Characters>18264</Characters>
  <Lines>182</Lines>
  <Paragraphs>51</Paragraphs>
  <TotalTime>1</TotalTime>
  <ScaleCrop>false</ScaleCrop>
  <LinksUpToDate>false</LinksUpToDate>
  <CharactersWithSpaces>19533</CharactersWithSpaces>
  <Application>WPS Office_12.1.0.16910_F1E327BC-269C-435d-A152-05C5408002CA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2024-05-13T00:00:20Z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2052-12.1.0.16910</vt:lpwstr>
  </property>
  <property fmtid="{D5CDD505-2E9C-101B-9397-08002B2CF9AE}" pid="3" name="ICV">
    <vt:lpwstr>D90EFDEDCD294DEAB041A069E42458C9</vt:lpwstr>
  </property>
</Properties>
</file>