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2024FW018</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bookmarkStart w:id="161" w:name="_GoBack"/>
      <w:r>
        <w:rPr>
          <w:rFonts w:hint="eastAsia" w:ascii="方正小标宋_GBK" w:hAnsi="宋体" w:eastAsia="方正小标宋_GBK" w:cs="Times New Roman"/>
          <w:color w:val="auto"/>
          <w:sz w:val="28"/>
          <w:szCs w:val="28"/>
          <w:lang w:val="en-US" w:eastAsia="zh-CN"/>
        </w:rPr>
        <w:t>可回收垃圾收购处置服务</w:t>
      </w:r>
      <w:bookmarkEnd w:id="161"/>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四月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1641050"/>
      <w:bookmarkStart w:id="1" w:name="_Toc485108766"/>
      <w:bookmarkStart w:id="2" w:name="_Toc25875"/>
      <w:bookmarkStart w:id="3" w:name="_Toc12789052"/>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可回收垃圾收购处置服务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8443"/>
      <w:bookmarkStart w:id="7" w:name="_Toc485108767"/>
      <w:bookmarkStart w:id="8" w:name="_Toc317775175"/>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可回收垃圾收购处置服务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485108768"/>
      <w:bookmarkStart w:id="11" w:name="_Toc6609"/>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r>
        <w:rPr>
          <w:rStyle w:val="69"/>
          <w:rFonts w:hint="eastAsia" w:ascii="微软雅黑" w:hAnsi="微软雅黑" w:eastAsia="微软雅黑" w:cs="微软雅黑"/>
          <w:b/>
          <w:bCs w:val="0"/>
          <w:color w:val="auto"/>
          <w:sz w:val="24"/>
          <w:szCs w:val="24"/>
          <w:lang w:val="en-US" w:eastAsia="zh-CN"/>
        </w:rPr>
        <w:t>自筹资金。</w:t>
      </w:r>
    </w:p>
    <w:p>
      <w:pPr>
        <w:pStyle w:val="22"/>
        <w:numPr>
          <w:ilvl w:val="0"/>
          <w:numId w:val="0"/>
        </w:numPr>
        <w:rPr>
          <w:rFonts w:hint="eastAsia"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项目预算：无。</w:t>
      </w:r>
    </w:p>
    <w:p>
      <w:pPr>
        <w:pStyle w:val="3"/>
        <w:spacing w:line="240" w:lineRule="auto"/>
        <w:rPr>
          <w:rStyle w:val="69"/>
          <w:rFonts w:hint="eastAsia" w:ascii="微软雅黑" w:hAnsi="微软雅黑" w:eastAsia="微软雅黑" w:cs="微软雅黑"/>
          <w:b/>
          <w:color w:val="auto"/>
          <w:sz w:val="24"/>
          <w:szCs w:val="24"/>
        </w:rPr>
      </w:pPr>
      <w:bookmarkStart w:id="12" w:name="_Toc485108769"/>
      <w:bookmarkStart w:id="13"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2"/>
      <w:r>
        <w:rPr>
          <w:rFonts w:hint="eastAsia" w:ascii="微软雅黑" w:hAnsi="微软雅黑" w:eastAsia="微软雅黑" w:cs="微软雅黑"/>
          <w:color w:val="auto"/>
          <w:sz w:val="24"/>
          <w:szCs w:val="24"/>
        </w:rPr>
        <w:t>供应商资格要求</w:t>
      </w:r>
      <w:bookmarkEnd w:id="13"/>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4" w:name="_Toc11958"/>
      <w:bookmarkStart w:id="15" w:name="_Toc6"/>
      <w:bookmarkStart w:id="16" w:name="_Toc485108774"/>
      <w:bookmarkStart w:id="17" w:name="_Toc102227313"/>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有效的三证合一营业执照、排污许可证。</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五、比选有关说明</w:t>
      </w:r>
      <w:bookmarkEnd w:id="14"/>
      <w:bookmarkEnd w:id="15"/>
      <w:r>
        <w:rPr>
          <w:rFonts w:hint="eastAsia" w:ascii="微软雅黑" w:hAnsi="微软雅黑" w:eastAsia="微软雅黑" w:cs="微软雅黑"/>
          <w:color w:val="auto"/>
          <w:sz w:val="24"/>
          <w:szCs w:val="24"/>
          <w:lang w:val="en-US" w:eastAsia="zh-CN"/>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b/>
          <w:bCs/>
          <w:color w:val="auto"/>
          <w:sz w:val="24"/>
          <w:szCs w:val="24"/>
        </w:rPr>
        <w:t>（</w:t>
      </w:r>
      <w:r>
        <w:rPr>
          <w:rFonts w:hint="eastAsia" w:ascii="方正仿宋_GBK" w:hAnsi="宋体" w:eastAsia="方正仿宋_GBK" w:cs="Times New Roman"/>
          <w:b/>
          <w:bCs/>
          <w:color w:val="auto"/>
          <w:sz w:val="24"/>
          <w:szCs w:val="24"/>
          <w:lang w:eastAsia="zh-CN"/>
        </w:rPr>
        <w:t>202</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年</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月</w:t>
      </w:r>
      <w:r>
        <w:rPr>
          <w:rFonts w:hint="eastAsia" w:ascii="方正仿宋_GBK" w:hAnsi="宋体" w:eastAsia="方正仿宋_GBK" w:cs="Times New Roman"/>
          <w:b/>
          <w:bCs/>
          <w:color w:val="auto"/>
          <w:sz w:val="24"/>
          <w:szCs w:val="24"/>
          <w:lang w:val="en-US" w:eastAsia="zh-CN"/>
        </w:rPr>
        <w:t>8</w:t>
      </w:r>
      <w:r>
        <w:rPr>
          <w:rFonts w:hint="eastAsia" w:ascii="方正仿宋_GBK" w:hAnsi="宋体" w:eastAsia="方正仿宋_GBK" w:cs="Times New Roman"/>
          <w:b/>
          <w:bCs/>
          <w:color w:val="auto"/>
          <w:sz w:val="24"/>
          <w:szCs w:val="24"/>
        </w:rPr>
        <w:t>日）</w:t>
      </w:r>
      <w:r>
        <w:rPr>
          <w:rFonts w:hint="eastAsia" w:ascii="方正仿宋_GBK" w:hAnsi="宋体" w:eastAsia="方正仿宋_GBK" w:cs="Times New Roman"/>
          <w:color w:val="auto"/>
          <w:sz w:val="24"/>
          <w:szCs w:val="24"/>
        </w:rPr>
        <w:t>起</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b/>
          <w:bCs/>
          <w:color w:val="auto"/>
          <w:sz w:val="24"/>
          <w:szCs w:val="24"/>
        </w:rPr>
        <w:t>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8</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0:00</w:t>
      </w:r>
      <w:r>
        <w:rPr>
          <w:rFonts w:hint="eastAsia" w:ascii="方正仿宋_GBK" w:hAnsi="宋体" w:eastAsia="方正仿宋_GBK"/>
          <w:b/>
          <w:bCs/>
          <w:color w:val="auto"/>
          <w:sz w:val="24"/>
          <w:szCs w:val="24"/>
        </w:rPr>
        <w:t>时至202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10</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24:00</w:t>
      </w:r>
      <w:r>
        <w:rPr>
          <w:rFonts w:hint="eastAsia" w:ascii="方正仿宋_GBK" w:hAnsi="宋体" w:eastAsia="方正仿宋_GBK"/>
          <w:b/>
          <w:bCs/>
          <w:color w:val="auto"/>
          <w:sz w:val="24"/>
          <w:szCs w:val="24"/>
        </w:rPr>
        <w:t>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w:t>
      </w:r>
      <w:r>
        <w:rPr>
          <w:rFonts w:hint="eastAsia" w:ascii="方正仿宋_GBK" w:hAnsi="宋体" w:eastAsia="方正仿宋_GBK"/>
          <w:b/>
          <w:bCs/>
          <w:color w:val="auto"/>
          <w:sz w:val="24"/>
          <w:szCs w:val="24"/>
          <w:lang w:eastAsia="zh-CN"/>
        </w:rPr>
        <w:t>、如不是法人参加还需提供法人授权文件</w:t>
      </w:r>
      <w:r>
        <w:rPr>
          <w:rFonts w:hint="eastAsia" w:ascii="方正仿宋_GBK" w:hAnsi="宋体" w:eastAsia="方正仿宋_GBK"/>
          <w:b/>
          <w:bCs/>
          <w:color w:val="auto"/>
          <w:sz w:val="24"/>
          <w:szCs w:val="24"/>
        </w:rPr>
        <w:t>，供应商一般资质和特定资格要求等相关信息，盖鲜章后的清晰纸质版文件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8" w:name="_Toc26538"/>
      <w:r>
        <w:rPr>
          <w:rFonts w:hint="eastAsia" w:ascii="方正仿宋_GBK" w:hAnsi="宋体" w:eastAsia="方正仿宋_GBK" w:cs="Times New Roman"/>
          <w:color w:val="auto"/>
          <w:sz w:val="24"/>
          <w:szCs w:val="24"/>
        </w:rPr>
        <w:t>（七）响应文件递交截止时间：</w:t>
      </w:r>
      <w:bookmarkEnd w:id="18"/>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9" w:name="_Toc7033"/>
      <w:r>
        <w:rPr>
          <w:rFonts w:hint="eastAsia" w:ascii="方正仿宋_GBK" w:hAnsi="宋体" w:eastAsia="方正仿宋_GBK" w:cs="Times New Roman"/>
          <w:color w:val="auto"/>
          <w:sz w:val="24"/>
          <w:szCs w:val="24"/>
        </w:rPr>
        <w:t>（八）比选开始时间：</w:t>
      </w:r>
      <w:bookmarkEnd w:id="19"/>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0"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0"/>
      <w:bookmarkStart w:id="21" w:name="_Toc54718176"/>
      <w:bookmarkStart w:id="22" w:name="_Toc54171062"/>
      <w:bookmarkStart w:id="23" w:name="_Toc373860294"/>
    </w:p>
    <w:bookmarkEnd w:id="21"/>
    <w:bookmarkEnd w:id="22"/>
    <w:bookmarkEnd w:id="23"/>
    <w:p>
      <w:pPr>
        <w:pStyle w:val="3"/>
        <w:bidi w:val="0"/>
        <w:rPr>
          <w:rFonts w:hint="eastAsia" w:ascii="微软雅黑" w:hAnsi="微软雅黑" w:eastAsia="微软雅黑" w:cs="微软雅黑"/>
          <w:color w:val="auto"/>
          <w:sz w:val="24"/>
          <w:szCs w:val="24"/>
        </w:rPr>
      </w:pPr>
      <w:bookmarkStart w:id="24" w:name="_Toc1625"/>
      <w:bookmarkStart w:id="25"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4"/>
      <w:bookmarkEnd w:id="2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6" w:name="_Toc31390"/>
      <w:bookmarkStart w:id="27" w:name="_Toc913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6"/>
      <w:bookmarkEnd w:id="27"/>
    </w:p>
    <w:bookmarkEnd w:id="16"/>
    <w:bookmarkEnd w:id="17"/>
    <w:p>
      <w:pPr>
        <w:ind w:firstLine="480" w:firstLineChars="200"/>
        <w:jc w:val="left"/>
        <w:rPr>
          <w:rFonts w:ascii="方正仿宋_GBK" w:hAnsi="宋体" w:eastAsia="方正仿宋_GBK" w:cs="Times New Roman"/>
          <w:color w:val="auto"/>
          <w:sz w:val="24"/>
          <w:szCs w:val="24"/>
        </w:rPr>
      </w:pPr>
      <w:bookmarkStart w:id="28"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28"/>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29"/>
    </w:p>
    <w:p>
      <w:pPr>
        <w:pStyle w:val="3"/>
        <w:bidi w:val="0"/>
        <w:rPr>
          <w:rFonts w:hint="eastAsia" w:ascii="微软雅黑" w:hAnsi="微软雅黑" w:eastAsia="微软雅黑" w:cs="微软雅黑"/>
          <w:color w:val="auto"/>
          <w:sz w:val="24"/>
          <w:szCs w:val="24"/>
        </w:rPr>
      </w:pPr>
      <w:bookmarkStart w:id="30" w:name="_Toc11386"/>
      <w:r>
        <w:rPr>
          <w:rFonts w:hint="eastAsia" w:ascii="微软雅黑" w:hAnsi="微软雅黑" w:eastAsia="微软雅黑" w:cs="微软雅黑"/>
          <w:color w:val="auto"/>
          <w:sz w:val="24"/>
          <w:szCs w:val="24"/>
        </w:rPr>
        <w:t>一、比选费用</w:t>
      </w:r>
      <w:bookmarkEnd w:id="30"/>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1" w:name="_Toc8430"/>
      <w:r>
        <w:rPr>
          <w:rFonts w:hint="eastAsia" w:ascii="微软雅黑" w:hAnsi="微软雅黑" w:eastAsia="微软雅黑" w:cs="微软雅黑"/>
          <w:color w:val="auto"/>
          <w:sz w:val="24"/>
          <w:szCs w:val="24"/>
        </w:rPr>
        <w:t>二、比选文件</w:t>
      </w:r>
      <w:bookmarkEnd w:id="31"/>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2" w:name="_Toc23254"/>
      <w:r>
        <w:rPr>
          <w:rFonts w:hint="eastAsia" w:ascii="微软雅黑" w:hAnsi="微软雅黑" w:eastAsia="微软雅黑" w:cs="微软雅黑"/>
          <w:color w:val="auto"/>
          <w:sz w:val="24"/>
          <w:szCs w:val="24"/>
        </w:rPr>
        <w:t>三、比选要求</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仿宋" w:hAnsi="仿宋" w:eastAsia="仿宋" w:cs="MS Shell Dlg"/>
          <w:sz w:val="28"/>
          <w:szCs w:val="28"/>
        </w:rPr>
      </w:pPr>
      <w:r>
        <w:rPr>
          <w:rFonts w:hint="eastAsia" w:ascii="方正仿宋_GBK" w:hAnsi="宋体" w:eastAsia="方正仿宋_GBK" w:cs="Times New Roman"/>
          <w:color w:val="FF0000"/>
          <w:sz w:val="24"/>
          <w:szCs w:val="24"/>
        </w:rPr>
        <w:t>收购方按照报价表进行报价（见</w:t>
      </w:r>
      <w:r>
        <w:rPr>
          <w:rFonts w:hint="eastAsia" w:ascii="方正仿宋_GBK" w:hAnsi="宋体" w:eastAsia="方正仿宋_GBK" w:cs="Times New Roman"/>
          <w:color w:val="FF0000"/>
          <w:sz w:val="24"/>
          <w:szCs w:val="24"/>
          <w:lang w:eastAsia="zh-CN"/>
        </w:rPr>
        <w:t>第六章</w:t>
      </w:r>
      <w:r>
        <w:rPr>
          <w:rFonts w:hint="eastAsia" w:ascii="方正仿宋_GBK" w:hAnsi="宋体" w:eastAsia="方正仿宋_GBK" w:cs="Times New Roman"/>
          <w:color w:val="FF0000"/>
          <w:sz w:val="24"/>
          <w:szCs w:val="24"/>
        </w:rPr>
        <w:t>）。</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3" w:name="OLE_LINK3"/>
      <w:bookmarkStart w:id="34" w:name="OLE_LINK9"/>
      <w:bookmarkStart w:id="35"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3"/>
    <w:bookmarkEnd w:id="34"/>
    <w:bookmarkEnd w:id="35"/>
    <w:p>
      <w:pPr>
        <w:snapToGrid w:val="0"/>
        <w:spacing w:line="400" w:lineRule="exact"/>
        <w:ind w:firstLine="480" w:firstLineChars="200"/>
        <w:rPr>
          <w:rFonts w:hint="eastAsia" w:ascii="方正仿宋_GBK" w:hAnsi="宋体" w:eastAsia="方正仿宋_GBK" w:cs="Times New Roman"/>
          <w:color w:val="auto"/>
          <w:sz w:val="24"/>
          <w:szCs w:val="24"/>
        </w:rPr>
      </w:pPr>
      <w:bookmarkStart w:id="36" w:name="_Toc19143"/>
      <w:bookmarkStart w:id="37" w:name="_Toc102227319"/>
      <w:bookmarkStart w:id="38" w:name="_Toc403569780"/>
      <w:bookmarkStart w:id="39" w:name="_Toc18122"/>
      <w:bookmarkStart w:id="40" w:name="_Toc179714298"/>
      <w:bookmarkStart w:id="41"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6"/>
      <w:bookmarkEnd w:id="37"/>
      <w:bookmarkEnd w:id="38"/>
      <w:bookmarkEnd w:id="39"/>
      <w:bookmarkEnd w:id="40"/>
      <w:bookmarkEnd w:id="41"/>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2" w:name="_Toc403569781"/>
      <w:bookmarkStart w:id="43" w:name="_Toc28776"/>
      <w:bookmarkStart w:id="44" w:name="_Toc14247"/>
      <w:bookmarkStart w:id="45" w:name="_Toc102227320"/>
      <w:bookmarkStart w:id="46" w:name="_Toc342913394"/>
      <w:r>
        <w:rPr>
          <w:rFonts w:hint="eastAsia" w:ascii="微软雅黑" w:hAnsi="微软雅黑" w:eastAsia="微软雅黑" w:cs="微软雅黑"/>
          <w:color w:val="auto"/>
          <w:sz w:val="24"/>
          <w:szCs w:val="24"/>
        </w:rPr>
        <w:t>五、评审依据</w:t>
      </w:r>
      <w:bookmarkEnd w:id="42"/>
      <w:bookmarkEnd w:id="43"/>
      <w:bookmarkEnd w:id="44"/>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7" w:name="_Toc403569782"/>
      <w:bookmarkStart w:id="48" w:name="_Toc29340"/>
      <w:bookmarkStart w:id="49" w:name="_Toc14816"/>
      <w:r>
        <w:rPr>
          <w:rFonts w:hint="eastAsia" w:ascii="微软雅黑" w:hAnsi="微软雅黑" w:eastAsia="微软雅黑" w:cs="微软雅黑"/>
          <w:color w:val="auto"/>
          <w:sz w:val="24"/>
          <w:szCs w:val="24"/>
        </w:rPr>
        <w:t>六、成交</w:t>
      </w:r>
      <w:bookmarkEnd w:id="45"/>
      <w:r>
        <w:rPr>
          <w:rFonts w:hint="eastAsia" w:ascii="微软雅黑" w:hAnsi="微软雅黑" w:eastAsia="微软雅黑" w:cs="微软雅黑"/>
          <w:color w:val="auto"/>
          <w:sz w:val="24"/>
          <w:szCs w:val="24"/>
        </w:rPr>
        <w:t>原则</w:t>
      </w:r>
      <w:bookmarkEnd w:id="46"/>
      <w:bookmarkEnd w:id="47"/>
      <w:bookmarkEnd w:id="48"/>
      <w:bookmarkEnd w:id="4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0" w:name="_Toc102227321"/>
      <w:bookmarkStart w:id="51" w:name="_Toc7135"/>
      <w:bookmarkStart w:id="52" w:name="_Toc3212"/>
      <w:bookmarkStart w:id="53" w:name="_Toc403569783"/>
      <w:bookmarkStart w:id="54" w:name="_Toc342913395"/>
      <w:r>
        <w:rPr>
          <w:rFonts w:hint="eastAsia" w:ascii="微软雅黑" w:hAnsi="微软雅黑" w:eastAsia="微软雅黑" w:cs="微软雅黑"/>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5" w:name="_Toc12880"/>
      <w:bookmarkStart w:id="56" w:name="_Toc403569784"/>
      <w:bookmarkStart w:id="57" w:name="_Toc17413"/>
      <w:r>
        <w:rPr>
          <w:rFonts w:hint="eastAsia" w:ascii="微软雅黑" w:hAnsi="微软雅黑" w:eastAsia="微软雅黑" w:cs="微软雅黑"/>
          <w:color w:val="auto"/>
          <w:sz w:val="24"/>
          <w:szCs w:val="24"/>
        </w:rPr>
        <w:t>八、关于质疑和投诉</w:t>
      </w:r>
      <w:bookmarkEnd w:id="55"/>
      <w:bookmarkEnd w:id="56"/>
      <w:bookmarkEnd w:id="5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58" w:name="_Toc102227322"/>
      <w:bookmarkStart w:id="59" w:name="_Toc6381"/>
      <w:bookmarkStart w:id="60" w:name="_Toc342913396"/>
      <w:bookmarkStart w:id="61"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2" w:name="_Toc5728"/>
      <w:r>
        <w:rPr>
          <w:rFonts w:hint="eastAsia" w:ascii="微软雅黑" w:hAnsi="微软雅黑" w:eastAsia="微软雅黑" w:cs="微软雅黑"/>
          <w:color w:val="auto"/>
          <w:sz w:val="24"/>
          <w:szCs w:val="24"/>
        </w:rPr>
        <w:t>九、签订</w:t>
      </w:r>
      <w:bookmarkEnd w:id="58"/>
      <w:r>
        <w:rPr>
          <w:rFonts w:hint="eastAsia" w:ascii="微软雅黑" w:hAnsi="微软雅黑" w:eastAsia="微软雅黑" w:cs="微软雅黑"/>
          <w:color w:val="auto"/>
          <w:sz w:val="24"/>
          <w:szCs w:val="24"/>
        </w:rPr>
        <w:t>合同</w:t>
      </w:r>
      <w:bookmarkEnd w:id="59"/>
      <w:bookmarkEnd w:id="60"/>
      <w:bookmarkEnd w:id="61"/>
      <w:bookmarkEnd w:id="6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3"/>
      <w:bookmarkEnd w:id="64"/>
    </w:p>
    <w:p>
      <w:pPr>
        <w:pStyle w:val="3"/>
        <w:spacing w:line="240" w:lineRule="auto"/>
        <w:rPr>
          <w:rFonts w:hint="eastAsia" w:ascii="微软雅黑" w:hAnsi="微软雅黑" w:eastAsia="微软雅黑" w:cs="微软雅黑"/>
          <w:color w:val="auto"/>
          <w:sz w:val="24"/>
          <w:szCs w:val="24"/>
        </w:rPr>
      </w:pPr>
      <w:bookmarkStart w:id="65" w:name="_Toc12789058"/>
      <w:bookmarkStart w:id="66" w:name="_Toc485108787"/>
      <w:bookmarkStart w:id="67" w:name="_Toc28327"/>
      <w:r>
        <w:rPr>
          <w:rFonts w:hint="eastAsia" w:ascii="微软雅黑" w:hAnsi="微软雅黑" w:eastAsia="微软雅黑" w:cs="微软雅黑"/>
          <w:color w:val="auto"/>
          <w:sz w:val="24"/>
          <w:szCs w:val="24"/>
        </w:rPr>
        <w:t>一、服务需求</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1、收购内容及频次：未被血液、体液、排泄物污染的各种玻璃、一次性塑料输液瓶和玻璃小药瓶，收购频次为2日/次，特殊情况除外。</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3、收购方须严格遵守国家的相关法律法规，不得从事非法的或未经许可的收购活动。</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4、收购方须在指定的区域内开展相关的回收工作，不得乱堆放回收物品，不得影响采购方工作秩序，不得将回收的物品用于原用途或其它非法用途。</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5、收购方须指派专业人员开展相关工作，各项工作须严格按照相关操作规程开展。</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6、收购方在回收各类物品时应随时接受我方监督，完成回收工作后应同采购方工作人员做好交接记录并签字确认。</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7、在回收过程中，收购方应采取有效的安全措施，保证工作人员和其他人员的人身安全，并承担因安全事故导致的一切经济和法律责任。如有损坏财产须照价赔偿。</w:t>
      </w:r>
    </w:p>
    <w:p>
      <w:pPr>
        <w:rPr>
          <w:rFonts w:hint="eastAsia"/>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both"/>
        <w:rPr>
          <w:rFonts w:hint="eastAsia" w:ascii="微软雅黑" w:hAnsi="微软雅黑" w:eastAsia="微软雅黑" w:cs="微软雅黑"/>
          <w:b/>
          <w:color w:val="auto"/>
          <w:sz w:val="36"/>
          <w:szCs w:val="36"/>
        </w:rPr>
      </w:pPr>
    </w:p>
    <w:p>
      <w:pPr>
        <w:rPr>
          <w:rFonts w:hint="eastAsia"/>
        </w:rPr>
      </w:pPr>
    </w:p>
    <w:p>
      <w:pPr>
        <w:pStyle w:val="2"/>
        <w:jc w:val="both"/>
        <w:rPr>
          <w:rFonts w:hint="eastAsia" w:ascii="微软雅黑" w:hAnsi="微软雅黑" w:eastAsia="微软雅黑" w:cs="微软雅黑"/>
          <w:b/>
          <w:color w:val="auto"/>
          <w:sz w:val="36"/>
          <w:szCs w:val="36"/>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5"/>
      <w:bookmarkEnd w:id="66"/>
      <w:bookmarkEnd w:id="67"/>
      <w:bookmarkStart w:id="68" w:name="_Toc12789059"/>
      <w:bookmarkStart w:id="69" w:name="_Toc11641055"/>
    </w:p>
    <w:p>
      <w:pPr>
        <w:pStyle w:val="3"/>
        <w:spacing w:line="240" w:lineRule="auto"/>
        <w:rPr>
          <w:rFonts w:hint="eastAsia" w:ascii="微软雅黑" w:hAnsi="微软雅黑" w:eastAsia="微软雅黑" w:cs="微软雅黑"/>
          <w:color w:val="auto"/>
          <w:sz w:val="24"/>
          <w:szCs w:val="24"/>
          <w:lang w:val="en-US" w:eastAsia="zh-CN"/>
        </w:rPr>
      </w:pPr>
      <w:bookmarkStart w:id="70" w:name="_Toc11645"/>
      <w:bookmarkStart w:id="71" w:name="_Toc485108793"/>
      <w:bookmarkStart w:id="72" w:name="_Toc7358"/>
      <w:bookmarkStart w:id="73" w:name="_Toc403569795"/>
      <w:r>
        <w:rPr>
          <w:rFonts w:hint="eastAsia" w:ascii="微软雅黑" w:hAnsi="微软雅黑" w:eastAsia="微软雅黑" w:cs="微软雅黑"/>
          <w:color w:val="auto"/>
          <w:sz w:val="24"/>
          <w:szCs w:val="24"/>
          <w:lang w:val="en-US" w:eastAsia="zh-CN"/>
        </w:rPr>
        <w:t>一、商务需求</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合同期限：3年。</w:t>
      </w:r>
    </w:p>
    <w:p>
      <w:pPr>
        <w:snapToGrid w:val="0"/>
        <w:spacing w:line="400" w:lineRule="exact"/>
        <w:ind w:firstLine="540"/>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rPr>
        <w:t>付款方式：每半年收购方向采购方支付一次回收费用，每年的第1月和第7月的前10日内完成付款</w:t>
      </w:r>
      <w:r>
        <w:rPr>
          <w:rFonts w:hint="eastAsia" w:ascii="方正仿宋_GBK" w:hAnsi="宋体" w:eastAsia="方正仿宋_GBK" w:cs="Times New Roman"/>
          <w:color w:val="FF0000"/>
          <w:sz w:val="24"/>
          <w:szCs w:val="24"/>
          <w:lang w:eastAsia="zh-CN"/>
        </w:rPr>
        <w:t>。</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1"/>
      <w:bookmarkEnd w:id="72"/>
      <w:bookmarkEnd w:id="7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68"/>
      <w:bookmarkEnd w:id="69"/>
      <w:bookmarkStart w:id="74" w:name="_Toc403569796"/>
      <w:bookmarkStart w:id="75" w:name="_Toc485108794"/>
      <w:bookmarkStart w:id="76" w:name="_Toc14840"/>
      <w:bookmarkStart w:id="77" w:name="_Toc148265480"/>
      <w:bookmarkStart w:id="78" w:name="_Toc303945820"/>
      <w:r>
        <w:rPr>
          <w:rFonts w:hint="eastAsia" w:ascii="微软雅黑" w:hAnsi="微软雅黑" w:eastAsia="微软雅黑" w:cs="微软雅黑"/>
          <w:b/>
          <w:color w:val="auto"/>
          <w:sz w:val="36"/>
          <w:szCs w:val="36"/>
        </w:rPr>
        <w:t>第五篇  合同草案条款</w:t>
      </w:r>
      <w:bookmarkEnd w:id="74"/>
      <w:bookmarkEnd w:id="75"/>
      <w:bookmarkEnd w:id="76"/>
    </w:p>
    <w:p>
      <w:pPr>
        <w:pStyle w:val="3"/>
        <w:spacing w:line="240" w:lineRule="auto"/>
        <w:rPr>
          <w:rFonts w:hint="eastAsia" w:ascii="微软雅黑" w:hAnsi="微软雅黑" w:eastAsia="微软雅黑" w:cs="微软雅黑"/>
          <w:color w:val="auto"/>
          <w:sz w:val="24"/>
          <w:szCs w:val="24"/>
        </w:rPr>
      </w:pPr>
      <w:bookmarkStart w:id="79" w:name="_Toc54718202"/>
      <w:bookmarkStart w:id="80" w:name="_Toc30815"/>
      <w:r>
        <w:rPr>
          <w:rFonts w:hint="eastAsia" w:ascii="微软雅黑" w:hAnsi="微软雅黑" w:eastAsia="微软雅黑" w:cs="微软雅黑"/>
          <w:color w:val="auto"/>
          <w:sz w:val="24"/>
          <w:szCs w:val="24"/>
        </w:rPr>
        <w:t>一、定义</w:t>
      </w:r>
      <w:bookmarkEnd w:id="79"/>
      <w:bookmarkEnd w:id="80"/>
    </w:p>
    <w:p>
      <w:pPr>
        <w:snapToGrid w:val="0"/>
        <w:spacing w:line="400" w:lineRule="exact"/>
        <w:ind w:firstLine="480" w:firstLineChars="200"/>
        <w:jc w:val="left"/>
        <w:rPr>
          <w:rFonts w:ascii="方正仿宋_GBK" w:hAnsi="宋体" w:eastAsia="方正仿宋_GBK" w:cs="Times New Roman"/>
          <w:color w:val="auto"/>
          <w:sz w:val="24"/>
          <w:szCs w:val="24"/>
        </w:rPr>
      </w:pPr>
      <w:bookmarkStart w:id="81" w:name="_Toc988"/>
      <w:r>
        <w:rPr>
          <w:rFonts w:hint="eastAsia" w:ascii="方正仿宋_GBK" w:hAnsi="宋体" w:eastAsia="方正仿宋_GBK" w:cs="Times New Roman"/>
          <w:color w:val="auto"/>
          <w:sz w:val="24"/>
          <w:szCs w:val="24"/>
        </w:rPr>
        <w:t>（一）甲方（需方）即重庆医科大学附属永川医院。</w:t>
      </w:r>
      <w:bookmarkEnd w:id="81"/>
    </w:p>
    <w:p>
      <w:pPr>
        <w:snapToGrid w:val="0"/>
        <w:spacing w:line="400" w:lineRule="exact"/>
        <w:ind w:firstLine="480" w:firstLineChars="200"/>
        <w:jc w:val="left"/>
        <w:rPr>
          <w:rFonts w:ascii="方正仿宋_GBK" w:hAnsi="宋体" w:eastAsia="方正仿宋_GBK" w:cs="Times New Roman"/>
          <w:color w:val="auto"/>
          <w:sz w:val="24"/>
          <w:szCs w:val="24"/>
        </w:rPr>
      </w:pPr>
      <w:bookmarkStart w:id="8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5"/>
    </w:p>
    <w:p>
      <w:pPr>
        <w:pStyle w:val="3"/>
        <w:spacing w:line="240" w:lineRule="auto"/>
        <w:rPr>
          <w:rFonts w:hint="eastAsia" w:ascii="微软雅黑" w:hAnsi="微软雅黑" w:eastAsia="微软雅黑" w:cs="微软雅黑"/>
          <w:color w:val="auto"/>
          <w:sz w:val="24"/>
          <w:szCs w:val="24"/>
        </w:rPr>
      </w:pPr>
      <w:bookmarkStart w:id="86" w:name="_Toc17879"/>
      <w:bookmarkStart w:id="87"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6"/>
      <w:bookmarkEnd w:id="87"/>
    </w:p>
    <w:p>
      <w:pPr>
        <w:snapToGrid w:val="0"/>
        <w:spacing w:line="400" w:lineRule="exact"/>
        <w:ind w:firstLine="480" w:firstLineChars="200"/>
        <w:jc w:val="left"/>
        <w:rPr>
          <w:rFonts w:ascii="方正仿宋_GBK" w:hAnsi="宋体" w:eastAsia="方正仿宋_GBK" w:cs="Times New Roman"/>
          <w:color w:val="auto"/>
          <w:sz w:val="24"/>
          <w:szCs w:val="24"/>
        </w:rPr>
      </w:pPr>
      <w:bookmarkStart w:id="88" w:name="_Toc28967"/>
      <w:r>
        <w:rPr>
          <w:rFonts w:hint="eastAsia" w:ascii="方正仿宋_GBK" w:hAnsi="宋体" w:eastAsia="方正仿宋_GBK" w:cs="Times New Roman"/>
          <w:color w:val="auto"/>
          <w:sz w:val="24"/>
          <w:szCs w:val="24"/>
        </w:rPr>
        <w:t>合同包括以下内容：</w:t>
      </w:r>
      <w:bookmarkEnd w:id="88"/>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89" w:name="_Toc54718204"/>
      <w:bookmarkStart w:id="90" w:name="_Toc8853"/>
      <w:r>
        <w:rPr>
          <w:rFonts w:hint="eastAsia" w:ascii="微软雅黑" w:hAnsi="微软雅黑" w:eastAsia="微软雅黑" w:cs="微软雅黑"/>
          <w:color w:val="auto"/>
          <w:sz w:val="24"/>
          <w:szCs w:val="24"/>
        </w:rPr>
        <w:t>三、合同价格</w:t>
      </w:r>
      <w:bookmarkEnd w:id="89"/>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25177"/>
      <w:bookmarkStart w:id="9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3"/>
    </w:p>
    <w:p>
      <w:pPr>
        <w:pStyle w:val="3"/>
        <w:spacing w:line="240" w:lineRule="auto"/>
        <w:rPr>
          <w:rFonts w:hint="eastAsia" w:ascii="微软雅黑" w:hAnsi="微软雅黑" w:eastAsia="微软雅黑" w:cs="微软雅黑"/>
          <w:color w:val="auto"/>
          <w:sz w:val="24"/>
          <w:szCs w:val="24"/>
        </w:rPr>
      </w:pPr>
      <w:bookmarkStart w:id="94" w:name="_Toc24410"/>
      <w:r>
        <w:rPr>
          <w:rFonts w:hint="eastAsia" w:ascii="微软雅黑" w:hAnsi="微软雅黑" w:eastAsia="微软雅黑" w:cs="微软雅黑"/>
          <w:color w:val="auto"/>
          <w:sz w:val="24"/>
          <w:szCs w:val="24"/>
        </w:rPr>
        <w:t>四、转包或分包</w:t>
      </w:r>
      <w:bookmarkEnd w:id="92"/>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7"/>
    </w:p>
    <w:p>
      <w:pPr>
        <w:pStyle w:val="3"/>
        <w:spacing w:line="240" w:lineRule="auto"/>
        <w:rPr>
          <w:rFonts w:hint="eastAsia" w:ascii="微软雅黑" w:hAnsi="微软雅黑" w:eastAsia="微软雅黑" w:cs="微软雅黑"/>
          <w:color w:val="auto"/>
          <w:sz w:val="24"/>
          <w:szCs w:val="24"/>
        </w:rPr>
      </w:pPr>
      <w:bookmarkStart w:id="98" w:name="_Toc54718206"/>
      <w:bookmarkStart w:id="99" w:name="_Toc2241"/>
      <w:r>
        <w:rPr>
          <w:rFonts w:hint="eastAsia" w:ascii="微软雅黑" w:hAnsi="微软雅黑" w:eastAsia="微软雅黑" w:cs="微软雅黑"/>
          <w:color w:val="auto"/>
          <w:sz w:val="24"/>
          <w:szCs w:val="24"/>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0" w:name="_Toc12985"/>
      <w:bookmarkStart w:id="101"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1"/>
    </w:p>
    <w:p>
      <w:pPr>
        <w:pStyle w:val="3"/>
        <w:spacing w:line="240" w:lineRule="auto"/>
        <w:rPr>
          <w:rFonts w:hint="eastAsia" w:ascii="微软雅黑" w:hAnsi="微软雅黑" w:eastAsia="微软雅黑" w:cs="微软雅黑"/>
          <w:color w:val="auto"/>
          <w:sz w:val="24"/>
          <w:szCs w:val="24"/>
        </w:rPr>
      </w:pPr>
      <w:bookmarkStart w:id="102" w:name="_Toc54718207"/>
      <w:bookmarkStart w:id="103" w:name="_Toc9053"/>
      <w:r>
        <w:rPr>
          <w:rFonts w:hint="eastAsia" w:ascii="微软雅黑" w:hAnsi="微软雅黑" w:eastAsia="微软雅黑" w:cs="微软雅黑"/>
          <w:color w:val="auto"/>
          <w:sz w:val="24"/>
          <w:szCs w:val="24"/>
        </w:rPr>
        <w:t>六、付款</w:t>
      </w:r>
      <w:bookmarkEnd w:id="102"/>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3183"/>
      <w:r>
        <w:rPr>
          <w:rFonts w:hint="eastAsia" w:ascii="方正仿宋_GBK" w:hAnsi="宋体" w:eastAsia="方正仿宋_GBK" w:cs="Times New Roman"/>
          <w:color w:val="auto"/>
          <w:sz w:val="24"/>
          <w:szCs w:val="24"/>
        </w:rPr>
        <w:t>（一）本合同使用货币币制如未作特别说明均为人民币。</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8880"/>
      <w:r>
        <w:rPr>
          <w:rFonts w:hint="eastAsia" w:ascii="方正仿宋_GBK" w:hAnsi="宋体" w:eastAsia="方正仿宋_GBK" w:cs="Times New Roman"/>
          <w:color w:val="auto"/>
          <w:sz w:val="24"/>
          <w:szCs w:val="24"/>
        </w:rPr>
        <w:t>（二）付款方式：银行转账。</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6"/>
    </w:p>
    <w:p>
      <w:pPr>
        <w:pStyle w:val="3"/>
        <w:spacing w:line="240" w:lineRule="auto"/>
        <w:rPr>
          <w:rFonts w:hint="eastAsia" w:ascii="微软雅黑" w:hAnsi="微软雅黑" w:eastAsia="微软雅黑" w:cs="微软雅黑"/>
          <w:color w:val="auto"/>
          <w:sz w:val="24"/>
          <w:szCs w:val="24"/>
        </w:rPr>
      </w:pPr>
      <w:bookmarkStart w:id="107" w:name="_Toc11586"/>
      <w:bookmarkStart w:id="108"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5382"/>
      <w:r>
        <w:rPr>
          <w:rFonts w:hint="eastAsia" w:ascii="方正仿宋_GBK" w:hAnsi="宋体" w:eastAsia="方正仿宋_GBK" w:cs="Times New Roman"/>
          <w:color w:val="auto"/>
          <w:sz w:val="24"/>
          <w:szCs w:val="24"/>
        </w:rPr>
        <w:t>（一）当事人友好协商达成一致</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9926"/>
      <w:r>
        <w:rPr>
          <w:rFonts w:hint="eastAsia" w:ascii="方正仿宋_GBK" w:hAnsi="宋体" w:eastAsia="方正仿宋_GBK" w:cs="Times New Roman"/>
          <w:color w:val="auto"/>
          <w:sz w:val="24"/>
          <w:szCs w:val="24"/>
        </w:rPr>
        <w:t>（二）</w:t>
      </w:r>
      <w:bookmarkEnd w:id="110"/>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1" w:name="_Toc31719"/>
      <w:bookmarkStart w:id="112" w:name="_Toc54718210"/>
      <w:bookmarkStart w:id="113" w:name="_Toc54718212"/>
      <w:bookmarkStart w:id="114"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1"/>
      <w:bookmarkEnd w:id="112"/>
    </w:p>
    <w:p>
      <w:pPr>
        <w:snapToGrid w:val="0"/>
        <w:spacing w:line="400" w:lineRule="exact"/>
        <w:ind w:firstLine="480" w:firstLineChars="200"/>
        <w:rPr>
          <w:rFonts w:hint="eastAsia" w:ascii="方正仿宋_GBK" w:hAnsi="宋体" w:eastAsia="方正仿宋_GBK"/>
          <w:color w:val="auto"/>
          <w:sz w:val="24"/>
          <w:szCs w:val="24"/>
        </w:rPr>
      </w:pPr>
      <w:bookmarkStart w:id="115"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6" w:name="_Toc17287"/>
      <w:r>
        <w:rPr>
          <w:rFonts w:hint="eastAsia" w:ascii="方正仿宋_GBK" w:hAnsi="宋体" w:eastAsia="方正仿宋_GBK"/>
          <w:color w:val="auto"/>
          <w:sz w:val="24"/>
          <w:szCs w:val="24"/>
        </w:rPr>
        <w:t>（二）若涉及软件开发等服务类项目知识产权的，知识产权归医院所有。</w:t>
      </w:r>
      <w:bookmarkEnd w:id="116"/>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7"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18"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7"/>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7071"/>
      <w:r>
        <w:rPr>
          <w:rFonts w:hint="eastAsia" w:ascii="方正仿宋_GBK" w:hAnsi="宋体" w:eastAsia="方正仿宋_GBK" w:cs="Times New Roman"/>
          <w:color w:val="auto"/>
          <w:sz w:val="24"/>
          <w:szCs w:val="24"/>
        </w:rPr>
        <w:t>（一）合同生效及其效力应符合《中华人民共和国民法典》有关规定。</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8233"/>
      <w:r>
        <w:rPr>
          <w:rFonts w:hint="eastAsia" w:ascii="方正仿宋_GBK" w:hAnsi="宋体" w:eastAsia="方正仿宋_GBK" w:cs="Times New Roman"/>
          <w:color w:val="auto"/>
          <w:sz w:val="24"/>
          <w:szCs w:val="24"/>
        </w:rPr>
        <w:t>（四）合同需提供担保的，按《中华人民共和国担保法》规定执行。</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3"/>
    </w:p>
    <w:bookmarkEnd w:id="77"/>
    <w:bookmarkEnd w:id="7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4" w:name="_Hlt41879464"/>
      <w:bookmarkEnd w:id="124"/>
      <w:bookmarkStart w:id="125" w:name="_Toc13696"/>
      <w:bookmarkStart w:id="126" w:name="_Toc485108795"/>
      <w:bookmarkStart w:id="127" w:name="_Toc12789072"/>
      <w:r>
        <w:rPr>
          <w:rFonts w:hint="eastAsia" w:ascii="微软雅黑" w:hAnsi="微软雅黑" w:eastAsia="微软雅黑" w:cs="微软雅黑"/>
          <w:b/>
          <w:color w:val="auto"/>
          <w:sz w:val="36"/>
          <w:szCs w:val="36"/>
        </w:rPr>
        <w:t>第六篇  响应文件格式要求</w:t>
      </w:r>
      <w:bookmarkEnd w:id="125"/>
      <w:bookmarkEnd w:id="126"/>
      <w:bookmarkEnd w:id="127"/>
    </w:p>
    <w:p>
      <w:pPr>
        <w:pStyle w:val="3"/>
        <w:spacing w:line="240" w:lineRule="auto"/>
        <w:rPr>
          <w:rFonts w:hint="eastAsia" w:ascii="微软雅黑" w:hAnsi="微软雅黑" w:eastAsia="微软雅黑" w:cs="微软雅黑"/>
          <w:color w:val="auto"/>
          <w:sz w:val="24"/>
          <w:szCs w:val="24"/>
        </w:rPr>
      </w:pPr>
      <w:bookmarkStart w:id="128" w:name="_Toc27382"/>
      <w:r>
        <w:rPr>
          <w:rFonts w:hint="eastAsia" w:ascii="微软雅黑" w:hAnsi="微软雅黑" w:eastAsia="微软雅黑" w:cs="微软雅黑"/>
          <w:color w:val="auto"/>
          <w:sz w:val="24"/>
          <w:szCs w:val="24"/>
        </w:rPr>
        <w:t>一、经济部分</w:t>
      </w:r>
      <w:bookmarkEnd w:id="128"/>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29" w:name="_Toc6305"/>
      <w:r>
        <w:rPr>
          <w:rFonts w:hint="eastAsia" w:ascii="微软雅黑" w:hAnsi="微软雅黑" w:eastAsia="微软雅黑" w:cs="微软雅黑"/>
          <w:color w:val="auto"/>
          <w:sz w:val="24"/>
          <w:szCs w:val="24"/>
        </w:rPr>
        <w:t>二、服务部分</w:t>
      </w:r>
      <w:bookmarkEnd w:id="12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0" w:name="_Toc7207"/>
      <w:r>
        <w:rPr>
          <w:rFonts w:hint="eastAsia" w:ascii="微软雅黑" w:hAnsi="微软雅黑" w:eastAsia="微软雅黑" w:cs="微软雅黑"/>
          <w:color w:val="auto"/>
          <w:sz w:val="24"/>
          <w:szCs w:val="24"/>
        </w:rPr>
        <w:t>三、商务部分</w:t>
      </w:r>
      <w:bookmarkEnd w:id="130"/>
    </w:p>
    <w:p>
      <w:pPr>
        <w:snapToGrid w:val="0"/>
        <w:spacing w:line="360" w:lineRule="auto"/>
        <w:ind w:firstLine="480" w:firstLineChars="200"/>
        <w:rPr>
          <w:rFonts w:hint="eastAsia" w:ascii="微软雅黑" w:hAnsi="微软雅黑" w:eastAsia="微软雅黑" w:cs="微软雅黑"/>
          <w:color w:val="auto"/>
          <w:sz w:val="24"/>
          <w:szCs w:val="24"/>
        </w:rPr>
      </w:pPr>
      <w:bookmarkStart w:id="131" w:name="_Toc38358147"/>
      <w:bookmarkStart w:id="132" w:name="OLE_LINK11"/>
      <w:bookmarkStart w:id="133" w:name="OLE_LINK10"/>
      <w:r>
        <w:rPr>
          <w:rFonts w:hint="eastAsia" w:ascii="微软雅黑" w:hAnsi="微软雅黑" w:eastAsia="微软雅黑" w:cs="微软雅黑"/>
          <w:color w:val="auto"/>
          <w:sz w:val="24"/>
          <w:szCs w:val="24"/>
        </w:rPr>
        <w:t>（一）按照“第四篇  项目商务需求”提供相应资料</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4" w:name="_Toc18417"/>
      <w:r>
        <w:rPr>
          <w:rFonts w:hint="eastAsia" w:ascii="微软雅黑" w:hAnsi="微软雅黑" w:eastAsia="微软雅黑" w:cs="微软雅黑"/>
          <w:color w:val="auto"/>
          <w:sz w:val="24"/>
          <w:szCs w:val="24"/>
        </w:rPr>
        <w:t>四、资格条件及其他</w:t>
      </w:r>
      <w:bookmarkEnd w:id="13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5" w:name="_Toc19884"/>
      <w:r>
        <w:rPr>
          <w:rFonts w:hint="eastAsia" w:ascii="微软雅黑" w:hAnsi="微软雅黑" w:eastAsia="微软雅黑" w:cs="微软雅黑"/>
          <w:color w:val="auto"/>
          <w:sz w:val="24"/>
          <w:szCs w:val="24"/>
        </w:rPr>
        <w:t>五、其他应提供的资料</w:t>
      </w:r>
      <w:bookmarkEnd w:id="13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2"/>
    <w:bookmarkEnd w:id="133"/>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6" w:name="_Toc313888360"/>
      <w:bookmarkStart w:id="137" w:name="_Toc313008356"/>
      <w:bookmarkStart w:id="138" w:name="_Toc342913419"/>
      <w:bookmarkStart w:id="139" w:name="_Toc485108796"/>
      <w:bookmarkStart w:id="140" w:name="_Toc480979018"/>
      <w:bookmarkStart w:id="141" w:name="_Toc283382454"/>
      <w:bookmarkStart w:id="142" w:name="_Toc12789073"/>
      <w:r>
        <w:rPr>
          <w:rFonts w:hint="eastAsia"/>
          <w:b/>
          <w:color w:val="auto"/>
        </w:rPr>
        <w:t>经济部分</w:t>
      </w:r>
      <w:bookmarkEnd w:id="136"/>
      <w:bookmarkEnd w:id="137"/>
      <w:bookmarkEnd w:id="138"/>
      <w:bookmarkEnd w:id="139"/>
      <w:bookmarkEnd w:id="140"/>
    </w:p>
    <w:p>
      <w:pPr>
        <w:pStyle w:val="180"/>
        <w:ind w:left="450" w:firstLine="0" w:firstLineChars="0"/>
        <w:rPr>
          <w:b/>
          <w:color w:val="auto"/>
        </w:rPr>
      </w:pPr>
    </w:p>
    <w:bookmarkEnd w:id="141"/>
    <w:bookmarkEnd w:id="142"/>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6300"/>
        </w:tabs>
        <w:snapToGrid w:val="0"/>
        <w:spacing w:line="360" w:lineRule="auto"/>
        <w:jc w:val="center"/>
        <w:rPr>
          <w:rFonts w:hint="eastAsia" w:ascii="方正仿宋_GBK" w:hAnsi="宋体" w:eastAsia="方正仿宋_GBK" w:cs="Times New Roman"/>
          <w:color w:val="FF0000"/>
          <w:sz w:val="24"/>
          <w:szCs w:val="24"/>
        </w:rPr>
      </w:pPr>
      <w:bookmarkStart w:id="143" w:name="_Toc480979019"/>
      <w:bookmarkStart w:id="144" w:name="_Toc485108797"/>
      <w:bookmarkStart w:id="145" w:name="_Toc313888361"/>
      <w:bookmarkStart w:id="146" w:name="_Toc313008357"/>
      <w:bookmarkStart w:id="147" w:name="_Toc342913420"/>
    </w:p>
    <w:p>
      <w:pPr>
        <w:pStyle w:val="51"/>
        <w:spacing w:beforeAutospacing="0" w:afterAutospacing="0" w:line="480" w:lineRule="exact"/>
        <w:jc w:val="center"/>
        <w:rPr>
          <w:rFonts w:cs="MS Shell Dlg"/>
          <w:color w:val="000000" w:themeColor="text1"/>
          <w:sz w:val="36"/>
          <w:szCs w:val="36"/>
          <w14:textFill>
            <w14:solidFill>
              <w14:schemeClr w14:val="tx1"/>
            </w14:solidFill>
          </w14:textFill>
        </w:rPr>
      </w:pPr>
      <w:r>
        <w:rPr>
          <w:rFonts w:hint="eastAsia" w:cs="MS Shell Dlg"/>
          <w:color w:val="000000" w:themeColor="text1"/>
          <w:sz w:val="36"/>
          <w:szCs w:val="36"/>
          <w14:textFill>
            <w14:solidFill>
              <w14:schemeClr w14:val="tx1"/>
            </w14:solidFill>
          </w14:textFill>
        </w:rPr>
        <w:t>报价表</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382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52" w:type="dxa"/>
            <w:vAlign w:val="center"/>
          </w:tcPr>
          <w:p>
            <w:pPr>
              <w:pStyle w:val="51"/>
              <w:spacing w:beforeAutospacing="0" w:afterAutospacing="0" w:line="480" w:lineRule="auto"/>
              <w:jc w:val="center"/>
              <w:rPr>
                <w:sz w:val="28"/>
                <w:szCs w:val="28"/>
              </w:rPr>
            </w:pPr>
            <w:r>
              <w:rPr>
                <w:rFonts w:hint="eastAsia"/>
                <w:sz w:val="28"/>
                <w:szCs w:val="28"/>
              </w:rPr>
              <w:t>项目</w:t>
            </w:r>
          </w:p>
        </w:tc>
        <w:tc>
          <w:tcPr>
            <w:tcW w:w="3827" w:type="dxa"/>
            <w:vAlign w:val="center"/>
          </w:tcPr>
          <w:p>
            <w:pPr>
              <w:pStyle w:val="51"/>
              <w:spacing w:beforeAutospacing="0" w:afterAutospacing="0" w:line="480" w:lineRule="auto"/>
              <w:jc w:val="center"/>
              <w:rPr>
                <w:sz w:val="28"/>
                <w:szCs w:val="28"/>
              </w:rPr>
            </w:pPr>
            <w:r>
              <w:rPr>
                <w:rFonts w:hint="eastAsia"/>
                <w:sz w:val="28"/>
                <w:szCs w:val="28"/>
              </w:rPr>
              <w:t>回收价格（元/月）</w:t>
            </w:r>
          </w:p>
        </w:tc>
        <w:tc>
          <w:tcPr>
            <w:tcW w:w="1701" w:type="dxa"/>
            <w:vAlign w:val="center"/>
          </w:tcPr>
          <w:p>
            <w:pPr>
              <w:pStyle w:val="51"/>
              <w:spacing w:beforeAutospacing="0" w:afterAutospacing="0" w:line="480" w:lineRule="auto"/>
              <w:jc w:val="cente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52" w:type="dxa"/>
            <w:vAlign w:val="center"/>
          </w:tcPr>
          <w:p>
            <w:pPr>
              <w:pStyle w:val="51"/>
              <w:spacing w:beforeAutospacing="0" w:afterAutospacing="0" w:line="480" w:lineRule="auto"/>
              <w:jc w:val="center"/>
              <w:rPr>
                <w:sz w:val="28"/>
                <w:szCs w:val="28"/>
              </w:rPr>
            </w:pPr>
            <w:r>
              <w:rPr>
                <w:rFonts w:hint="eastAsia"/>
                <w:sz w:val="28"/>
                <w:szCs w:val="28"/>
              </w:rPr>
              <w:t>可回收垃圾收购处置</w:t>
            </w:r>
          </w:p>
        </w:tc>
        <w:tc>
          <w:tcPr>
            <w:tcW w:w="3827" w:type="dxa"/>
            <w:vAlign w:val="center"/>
          </w:tcPr>
          <w:p>
            <w:pPr>
              <w:pStyle w:val="51"/>
              <w:spacing w:beforeAutospacing="0" w:afterAutospacing="0" w:line="480" w:lineRule="auto"/>
              <w:jc w:val="center"/>
              <w:rPr>
                <w:sz w:val="28"/>
                <w:szCs w:val="28"/>
              </w:rPr>
            </w:pPr>
          </w:p>
        </w:tc>
        <w:tc>
          <w:tcPr>
            <w:tcW w:w="1701" w:type="dxa"/>
            <w:vAlign w:val="center"/>
          </w:tcPr>
          <w:p>
            <w:pPr>
              <w:pStyle w:val="51"/>
              <w:spacing w:beforeAutospacing="0" w:afterAutospacing="0" w:line="480" w:lineRule="auto"/>
              <w:jc w:val="center"/>
              <w:rPr>
                <w:sz w:val="28"/>
                <w:szCs w:val="28"/>
              </w:rPr>
            </w:pPr>
            <w:r>
              <w:rPr>
                <w:rFonts w:hint="eastAsia"/>
                <w:sz w:val="28"/>
                <w:szCs w:val="28"/>
              </w:rPr>
              <w:t>塑料、玻璃</w:t>
            </w:r>
          </w:p>
        </w:tc>
      </w:tr>
    </w:tbl>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3"/>
      <w:bookmarkEnd w:id="144"/>
      <w:bookmarkEnd w:id="145"/>
      <w:bookmarkEnd w:id="146"/>
      <w:bookmarkEnd w:id="147"/>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48" w:name="_Toc485108798"/>
      <w:bookmarkStart w:id="149" w:name="_Toc480979020"/>
      <w:bookmarkStart w:id="150" w:name="_Toc313008358"/>
      <w:bookmarkStart w:id="151" w:name="_Toc313888362"/>
      <w:bookmarkStart w:id="152" w:name="_Toc342913421"/>
      <w:r>
        <w:rPr>
          <w:rFonts w:hint="eastAsia"/>
          <w:b/>
          <w:color w:val="auto"/>
        </w:rPr>
        <w:t>三、商务部分</w:t>
      </w:r>
      <w:bookmarkEnd w:id="148"/>
      <w:bookmarkEnd w:id="149"/>
      <w:bookmarkEnd w:id="150"/>
      <w:bookmarkEnd w:id="151"/>
      <w:bookmarkEnd w:id="152"/>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3"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3"/>
      <w:bookmarkStart w:id="154" w:name="_Toc313888363"/>
      <w:bookmarkStart w:id="155" w:name="_Toc313008359"/>
      <w:bookmarkStart w:id="156"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4"/>
      <w:bookmarkEnd w:id="155"/>
      <w:bookmarkEnd w:id="15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7" w:name="OLE_LINK4"/>
      <w:bookmarkStart w:id="158"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7"/>
    <w:bookmarkEnd w:id="15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59" w:name="_Toc31463"/>
      <w:bookmarkStart w:id="160"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59"/>
    <w:bookmarkEnd w:id="160"/>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6E28F2C-FC25-4651-84A8-E936CFFD5718}"/>
  </w:font>
  <w:font w:name="黑体">
    <w:panose1 w:val="02010609060101010101"/>
    <w:charset w:val="86"/>
    <w:family w:val="auto"/>
    <w:pitch w:val="default"/>
    <w:sig w:usb0="800002BF" w:usb1="38CF7CFA" w:usb2="00000016" w:usb3="00000000" w:csb0="00040001" w:csb1="00000000"/>
    <w:embedRegular r:id="rId2" w:fontKey="{18F3555A-EEB1-4FAC-9D41-E826939BB0D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15A910C4-EF84-4AF4-B1CE-E2228090A9FB}"/>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902A1F3E-A60F-4CBB-BCD0-386A95299A35}"/>
  </w:font>
  <w:font w:name="方正小标宋简体">
    <w:panose1 w:val="02000000000000000000"/>
    <w:charset w:val="86"/>
    <w:family w:val="auto"/>
    <w:pitch w:val="default"/>
    <w:sig w:usb0="00000001" w:usb1="08000000" w:usb2="00000000" w:usb3="00000000" w:csb0="00040000" w:csb1="00000000"/>
    <w:embedRegular r:id="rId5" w:fontKey="{B832243E-7E13-4C4A-98E4-FC9259B62DF6}"/>
  </w:font>
  <w:font w:name="方正黑体_GBK">
    <w:panose1 w:val="03000509000000000000"/>
    <w:charset w:val="86"/>
    <w:family w:val="script"/>
    <w:pitch w:val="default"/>
    <w:sig w:usb0="00000001" w:usb1="080E0000" w:usb2="00000000" w:usb3="00000000" w:csb0="00040000" w:csb1="00000000"/>
    <w:embedRegular r:id="rId6" w:fontKey="{D16322AE-D40E-4362-986F-BBBF5AB838B2}"/>
  </w:font>
  <w:font w:name="方正小标宋_GBK">
    <w:panose1 w:val="02000000000000000000"/>
    <w:charset w:val="86"/>
    <w:family w:val="script"/>
    <w:pitch w:val="default"/>
    <w:sig w:usb0="00000001" w:usb1="080E0000" w:usb2="00000000" w:usb3="00000000" w:csb0="00040000" w:csb1="00000000"/>
    <w:embedRegular r:id="rId7" w:fontKey="{B1CD15F4-754D-4DF2-825B-F71BC22456F4}"/>
  </w:font>
  <w:font w:name="微软雅黑">
    <w:panose1 w:val="020B0503020204020204"/>
    <w:charset w:val="86"/>
    <w:family w:val="auto"/>
    <w:pitch w:val="default"/>
    <w:sig w:usb0="80000287" w:usb1="280F3C52" w:usb2="00000016" w:usb3="00000000" w:csb0="0004001F" w:csb1="00000000"/>
    <w:embedRegular r:id="rId8" w:fontKey="{130B5895-5AEC-46B5-81AF-AD85869E913C}"/>
  </w:font>
  <w:font w:name="方正仿宋_GBK">
    <w:panose1 w:val="03000509000000000000"/>
    <w:charset w:val="86"/>
    <w:family w:val="script"/>
    <w:pitch w:val="default"/>
    <w:sig w:usb0="00000001" w:usb1="080E0000" w:usb2="00000000" w:usb3="00000000" w:csb0="00040000" w:csb1="00000000"/>
    <w:embedRegular r:id="rId9" w:fontKey="{2792C35A-9083-4D6D-9E46-7544C6DC33EB}"/>
  </w:font>
  <w:font w:name="MS Shell Dlg">
    <w:altName w:val="Microsoft Sans Serif"/>
    <w:panose1 w:val="020B0604020202020204"/>
    <w:charset w:val="00"/>
    <w:family w:val="swiss"/>
    <w:pitch w:val="default"/>
    <w:sig w:usb0="00000000" w:usb1="00000000" w:usb2="00000008" w:usb3="00000000" w:csb0="000101FF" w:csb1="00000000"/>
    <w:embedRegular r:id="rId10" w:fontKey="{9D808D15-4744-4E8A-8460-D523530CC5E4}"/>
  </w:font>
  <w:font w:name="楷体">
    <w:panose1 w:val="02010609060101010101"/>
    <w:charset w:val="86"/>
    <w:family w:val="auto"/>
    <w:pitch w:val="default"/>
    <w:sig w:usb0="800002BF" w:usb1="38CF7CFA" w:usb2="00000016" w:usb3="00000000" w:csb0="00040001" w:csb1="00000000"/>
    <w:embedRegular r:id="rId11" w:fontKey="{AB105282-23C4-4F0F-9783-D2682ED58243}"/>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297C"/>
    <w:rsid w:val="00EF5DF7"/>
    <w:rsid w:val="00F1557E"/>
    <w:rsid w:val="00F2492A"/>
    <w:rsid w:val="00F42D01"/>
    <w:rsid w:val="00F46D9E"/>
    <w:rsid w:val="00F612D7"/>
    <w:rsid w:val="00F77324"/>
    <w:rsid w:val="00FA72A1"/>
    <w:rsid w:val="00FF1BDE"/>
    <w:rsid w:val="01067A49"/>
    <w:rsid w:val="02FE0C09"/>
    <w:rsid w:val="037759DB"/>
    <w:rsid w:val="04DA26C6"/>
    <w:rsid w:val="066C3CF1"/>
    <w:rsid w:val="06A45EA9"/>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340A48"/>
    <w:rsid w:val="10413B50"/>
    <w:rsid w:val="104D689B"/>
    <w:rsid w:val="109D57E0"/>
    <w:rsid w:val="125B37D8"/>
    <w:rsid w:val="134E0964"/>
    <w:rsid w:val="14B95EDB"/>
    <w:rsid w:val="14C6168E"/>
    <w:rsid w:val="15604521"/>
    <w:rsid w:val="17E52B34"/>
    <w:rsid w:val="18130842"/>
    <w:rsid w:val="18675712"/>
    <w:rsid w:val="19394057"/>
    <w:rsid w:val="19B7492C"/>
    <w:rsid w:val="1A5D7FC5"/>
    <w:rsid w:val="1B925650"/>
    <w:rsid w:val="1C0025BA"/>
    <w:rsid w:val="1CED540D"/>
    <w:rsid w:val="1CF736B7"/>
    <w:rsid w:val="1D632E00"/>
    <w:rsid w:val="1DD87EDC"/>
    <w:rsid w:val="1E9D4968"/>
    <w:rsid w:val="1F2D0A6E"/>
    <w:rsid w:val="1F6A74CC"/>
    <w:rsid w:val="1F6D6E4A"/>
    <w:rsid w:val="1FCE723D"/>
    <w:rsid w:val="20084BEF"/>
    <w:rsid w:val="203372B2"/>
    <w:rsid w:val="204C6181"/>
    <w:rsid w:val="20FB0BC7"/>
    <w:rsid w:val="2114239C"/>
    <w:rsid w:val="21C45BE8"/>
    <w:rsid w:val="21F678C9"/>
    <w:rsid w:val="21F94F0D"/>
    <w:rsid w:val="224F1BA5"/>
    <w:rsid w:val="23743B1F"/>
    <w:rsid w:val="254D6667"/>
    <w:rsid w:val="25B67319"/>
    <w:rsid w:val="25B7688A"/>
    <w:rsid w:val="25B91E1A"/>
    <w:rsid w:val="26380176"/>
    <w:rsid w:val="26A440C8"/>
    <w:rsid w:val="271E4A07"/>
    <w:rsid w:val="275D539C"/>
    <w:rsid w:val="287535CD"/>
    <w:rsid w:val="28CD4235"/>
    <w:rsid w:val="28D01566"/>
    <w:rsid w:val="28E31299"/>
    <w:rsid w:val="2A3717AC"/>
    <w:rsid w:val="2B3D6767"/>
    <w:rsid w:val="2B57565F"/>
    <w:rsid w:val="2BBD2276"/>
    <w:rsid w:val="2CF2794B"/>
    <w:rsid w:val="2E4A05E4"/>
    <w:rsid w:val="2F1F1F02"/>
    <w:rsid w:val="2F2348BD"/>
    <w:rsid w:val="2F6F1AD9"/>
    <w:rsid w:val="2FD06C0B"/>
    <w:rsid w:val="30A44277"/>
    <w:rsid w:val="30B15F03"/>
    <w:rsid w:val="30EF07A7"/>
    <w:rsid w:val="30FE6E20"/>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B870893"/>
    <w:rsid w:val="3C4F6F1A"/>
    <w:rsid w:val="3D4C1E7B"/>
    <w:rsid w:val="3DD60FEB"/>
    <w:rsid w:val="3E263CAA"/>
    <w:rsid w:val="3E491747"/>
    <w:rsid w:val="3E6B192F"/>
    <w:rsid w:val="3EA55BAC"/>
    <w:rsid w:val="3EEF12C4"/>
    <w:rsid w:val="3F591E5E"/>
    <w:rsid w:val="40113C23"/>
    <w:rsid w:val="403F2E01"/>
    <w:rsid w:val="404A2E64"/>
    <w:rsid w:val="40AB0EC9"/>
    <w:rsid w:val="40CE1CA0"/>
    <w:rsid w:val="40E52488"/>
    <w:rsid w:val="41007A8F"/>
    <w:rsid w:val="415869FC"/>
    <w:rsid w:val="41AB14E8"/>
    <w:rsid w:val="41D67141"/>
    <w:rsid w:val="42030507"/>
    <w:rsid w:val="420A020E"/>
    <w:rsid w:val="429D5EC0"/>
    <w:rsid w:val="444565A3"/>
    <w:rsid w:val="44CD5CF8"/>
    <w:rsid w:val="461B60BF"/>
    <w:rsid w:val="46C96141"/>
    <w:rsid w:val="475461C4"/>
    <w:rsid w:val="477A0BC3"/>
    <w:rsid w:val="47F3755A"/>
    <w:rsid w:val="48FA020D"/>
    <w:rsid w:val="492C6FBB"/>
    <w:rsid w:val="499D1F70"/>
    <w:rsid w:val="4A1025A8"/>
    <w:rsid w:val="4AC26B09"/>
    <w:rsid w:val="4AD41B9B"/>
    <w:rsid w:val="4AED1C9D"/>
    <w:rsid w:val="4BE8259F"/>
    <w:rsid w:val="4C4E289A"/>
    <w:rsid w:val="4DD75684"/>
    <w:rsid w:val="4E231003"/>
    <w:rsid w:val="4EF70D4B"/>
    <w:rsid w:val="4F2E0C11"/>
    <w:rsid w:val="4F79418A"/>
    <w:rsid w:val="50B9275C"/>
    <w:rsid w:val="50FE286B"/>
    <w:rsid w:val="514069D9"/>
    <w:rsid w:val="51D77CAA"/>
    <w:rsid w:val="52ED493F"/>
    <w:rsid w:val="531F0FF7"/>
    <w:rsid w:val="546107D9"/>
    <w:rsid w:val="55297C80"/>
    <w:rsid w:val="56644F18"/>
    <w:rsid w:val="56FF2E93"/>
    <w:rsid w:val="571613BB"/>
    <w:rsid w:val="58B574EB"/>
    <w:rsid w:val="58FC1D80"/>
    <w:rsid w:val="59250298"/>
    <w:rsid w:val="593509FB"/>
    <w:rsid w:val="59893E96"/>
    <w:rsid w:val="59E56370"/>
    <w:rsid w:val="5B3E21DC"/>
    <w:rsid w:val="5B4A5024"/>
    <w:rsid w:val="5BC414F3"/>
    <w:rsid w:val="5C205868"/>
    <w:rsid w:val="5CAE15E3"/>
    <w:rsid w:val="5D290C69"/>
    <w:rsid w:val="5F3F2DAC"/>
    <w:rsid w:val="5FB15C3A"/>
    <w:rsid w:val="6022194E"/>
    <w:rsid w:val="60D65D3F"/>
    <w:rsid w:val="60F4333C"/>
    <w:rsid w:val="611A50B4"/>
    <w:rsid w:val="619C43F3"/>
    <w:rsid w:val="6269072D"/>
    <w:rsid w:val="62A30CCB"/>
    <w:rsid w:val="62DC3850"/>
    <w:rsid w:val="6383661E"/>
    <w:rsid w:val="645A13DB"/>
    <w:rsid w:val="656A40F1"/>
    <w:rsid w:val="667E25AF"/>
    <w:rsid w:val="66815672"/>
    <w:rsid w:val="6972525B"/>
    <w:rsid w:val="69FC5E8B"/>
    <w:rsid w:val="6B217424"/>
    <w:rsid w:val="6B28360F"/>
    <w:rsid w:val="6B9F4D55"/>
    <w:rsid w:val="6BAA3DD9"/>
    <w:rsid w:val="6DC70D5C"/>
    <w:rsid w:val="6E0B5F08"/>
    <w:rsid w:val="6E45126B"/>
    <w:rsid w:val="6F062BB9"/>
    <w:rsid w:val="6F213E8F"/>
    <w:rsid w:val="70E64A50"/>
    <w:rsid w:val="71231A63"/>
    <w:rsid w:val="739465A0"/>
    <w:rsid w:val="73B34AD5"/>
    <w:rsid w:val="76235B76"/>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3</TotalTime>
  <ScaleCrop>false</ScaleCrop>
  <LinksUpToDate>false</LinksUpToDate>
  <CharactersWithSpaces>18825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2024-04-07T00:00:47Z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D90EFDEDCD294DEAB041A069E42458C9</vt:lpwstr>
  </property>
</Properties>
</file>