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2024FW011</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6号楼会议室装修改造服务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三月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485108766"/>
      <w:bookmarkStart w:id="2" w:name="_Toc11641050"/>
      <w:bookmarkStart w:id="3" w:name="_Toc12789052"/>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17775178"/>
      <w:bookmarkStart w:id="5" w:name="_Toc373860293"/>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6号楼会议室装修改造服务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28443"/>
      <w:bookmarkStart w:id="7" w:name="_Toc485108767"/>
      <w:bookmarkStart w:id="8" w:name="_Toc317775175"/>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6号楼会议室装修改造服务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6609"/>
      <w:bookmarkStart w:id="11" w:name="_Toc485108768"/>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bookmarkStart w:id="12" w:name="_Toc31105"/>
      <w:bookmarkStart w:id="13" w:name="_Toc3816"/>
      <w:r>
        <w:rPr>
          <w:rFonts w:hint="eastAsia" w:ascii="方正仿宋_GBK" w:hAnsi="宋体" w:eastAsia="方正仿宋_GBK" w:cs="Times New Roman"/>
          <w:b/>
          <w:bCs w:val="0"/>
          <w:color w:val="auto"/>
          <w:sz w:val="24"/>
          <w:szCs w:val="24"/>
        </w:rPr>
        <w:t>医院自筹</w:t>
      </w:r>
      <w:bookmarkEnd w:id="12"/>
      <w:bookmarkEnd w:id="13"/>
    </w:p>
    <w:p>
      <w:pPr>
        <w:pStyle w:val="22"/>
        <w:numPr>
          <w:ilvl w:val="0"/>
          <w:numId w:val="0"/>
        </w:numPr>
        <w:rPr>
          <w:rFonts w:hint="default"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w:t>
      </w:r>
      <w:r>
        <w:rPr>
          <w:rFonts w:hint="eastAsia" w:ascii="微软雅黑" w:hAnsi="微软雅黑" w:eastAsia="微软雅黑" w:cs="微软雅黑"/>
          <w:b/>
          <w:bCs/>
          <w:color w:val="auto"/>
          <w:sz w:val="24"/>
          <w:szCs w:val="24"/>
          <w:lang w:val="en-US" w:eastAsia="zh-CN"/>
        </w:rPr>
        <w:t>96万元。</w:t>
      </w:r>
    </w:p>
    <w:p>
      <w:pPr>
        <w:pStyle w:val="3"/>
        <w:spacing w:line="240" w:lineRule="auto"/>
        <w:rPr>
          <w:rStyle w:val="69"/>
          <w:rFonts w:hint="eastAsia" w:ascii="微软雅黑" w:hAnsi="微软雅黑" w:eastAsia="微软雅黑" w:cs="微软雅黑"/>
          <w:b/>
          <w:color w:val="auto"/>
          <w:sz w:val="24"/>
          <w:szCs w:val="24"/>
        </w:rPr>
      </w:pPr>
      <w:bookmarkStart w:id="14" w:name="_Toc485108769"/>
      <w:bookmarkStart w:id="15"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4"/>
      <w:r>
        <w:rPr>
          <w:rFonts w:hint="eastAsia" w:ascii="微软雅黑" w:hAnsi="微软雅黑" w:eastAsia="微软雅黑" w:cs="微软雅黑"/>
          <w:color w:val="auto"/>
          <w:sz w:val="24"/>
          <w:szCs w:val="24"/>
        </w:rPr>
        <w:t>供应商资格要求</w:t>
      </w:r>
      <w:bookmarkEnd w:id="1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6" w:name="_Toc6"/>
      <w:bookmarkStart w:id="17" w:name="_Toc11958"/>
      <w:bookmarkStart w:id="18" w:name="_Toc485108774"/>
      <w:bookmarkStart w:id="19" w:name="_Toc102227313"/>
    </w:p>
    <w:p>
      <w:pPr>
        <w:spacing w:line="48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有效的三证合一营业执照</w:t>
      </w:r>
    </w:p>
    <w:p>
      <w:pPr>
        <w:spacing w:line="480" w:lineRule="exact"/>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建筑业企业资质证书</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建筑工程施工总承包贰级及以上、建筑装修装饰工程贰级及以上、建筑机电安装工程贰级及以上</w:t>
      </w:r>
      <w:r>
        <w:rPr>
          <w:rFonts w:hint="eastAsia" w:ascii="方正仿宋_GBK" w:hAnsi="宋体" w:eastAsia="方正仿宋_GBK" w:cs="Times New Roman"/>
          <w:color w:val="auto"/>
          <w:sz w:val="24"/>
          <w:szCs w:val="24"/>
          <w:lang w:eastAsia="zh-CN"/>
        </w:rPr>
        <w:t>）</w:t>
      </w:r>
    </w:p>
    <w:p>
      <w:pPr>
        <w:spacing w:line="48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有效的</w:t>
      </w:r>
      <w:r>
        <w:rPr>
          <w:rFonts w:hint="eastAsia" w:ascii="方正仿宋_GBK" w:hAnsi="宋体" w:eastAsia="方正仿宋_GBK" w:cs="Times New Roman"/>
          <w:color w:val="auto"/>
          <w:sz w:val="24"/>
          <w:szCs w:val="24"/>
        </w:rPr>
        <w:t>安全生产许可证</w:t>
      </w:r>
      <w:r>
        <w:rPr>
          <w:rFonts w:hint="eastAsia" w:ascii="方正仿宋_GBK" w:hAnsi="宋体" w:eastAsia="方正仿宋_GBK" w:cs="Times New Roman"/>
          <w:color w:val="auto"/>
          <w:sz w:val="24"/>
          <w:szCs w:val="24"/>
          <w:lang w:eastAsia="zh-CN"/>
        </w:rPr>
        <w:t>。</w:t>
      </w:r>
    </w:p>
    <w:p>
      <w:pPr>
        <w:pStyle w:val="3"/>
        <w:spacing w:line="240" w:lineRule="auto"/>
        <w:rPr>
          <w:color w:val="auto"/>
          <w:sz w:val="24"/>
          <w:szCs w:val="24"/>
        </w:rPr>
      </w:pPr>
      <w:r>
        <w:rPr>
          <w:rFonts w:hint="eastAsia" w:ascii="微软雅黑" w:hAnsi="微软雅黑" w:eastAsia="微软雅黑" w:cs="微软雅黑"/>
          <w:color w:val="auto"/>
          <w:sz w:val="24"/>
          <w:szCs w:val="24"/>
          <w:lang w:eastAsia="zh-CN"/>
        </w:rPr>
        <w:t>五</w:t>
      </w:r>
      <w:r>
        <w:rPr>
          <w:rFonts w:hint="eastAsia" w:ascii="微软雅黑" w:hAnsi="微软雅黑" w:eastAsia="微软雅黑" w:cs="微软雅黑"/>
          <w:color w:val="auto"/>
          <w:sz w:val="24"/>
          <w:szCs w:val="24"/>
        </w:rPr>
        <w:t>、比选有关说明</w:t>
      </w:r>
      <w:bookmarkEnd w:id="16"/>
      <w:bookmarkEnd w:id="17"/>
      <w:r>
        <w:rPr>
          <w:color w:val="auto"/>
          <w:sz w:val="24"/>
          <w:szCs w:val="24"/>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3</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18</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起三个工作日。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3</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18</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3</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20</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的采购项目名称及采购项目编号、供应商名称、联系人名称及联系方式、电子邮箱地址，供应商一般资质和特定资格要求等相关信息，盖鲜章后的清晰纸质版文件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0" w:name="_Toc26538"/>
      <w:r>
        <w:rPr>
          <w:rFonts w:hint="eastAsia" w:ascii="方正仿宋_GBK" w:hAnsi="宋体" w:eastAsia="方正仿宋_GBK" w:cs="Times New Roman"/>
          <w:color w:val="auto"/>
          <w:sz w:val="24"/>
          <w:szCs w:val="24"/>
        </w:rPr>
        <w:t>（七）响应文件递交截止时间：</w:t>
      </w:r>
      <w:bookmarkEnd w:id="20"/>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21" w:name="_Toc7033"/>
      <w:r>
        <w:rPr>
          <w:rFonts w:hint="eastAsia" w:ascii="方正仿宋_GBK" w:hAnsi="宋体" w:eastAsia="方正仿宋_GBK" w:cs="Times New Roman"/>
          <w:color w:val="auto"/>
          <w:sz w:val="24"/>
          <w:szCs w:val="24"/>
        </w:rPr>
        <w:t>（八）比选开始时间：</w:t>
      </w:r>
      <w:bookmarkEnd w:id="21"/>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2"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2"/>
      <w:bookmarkStart w:id="23" w:name="_Toc54718176"/>
      <w:bookmarkStart w:id="24" w:name="_Toc54171062"/>
      <w:bookmarkStart w:id="25" w:name="_Toc373860294"/>
    </w:p>
    <w:bookmarkEnd w:id="23"/>
    <w:bookmarkEnd w:id="24"/>
    <w:bookmarkEnd w:id="25"/>
    <w:p>
      <w:pPr>
        <w:pStyle w:val="3"/>
        <w:bidi w:val="0"/>
        <w:rPr>
          <w:rFonts w:hint="eastAsia" w:ascii="微软雅黑" w:hAnsi="微软雅黑" w:eastAsia="微软雅黑" w:cs="微软雅黑"/>
          <w:color w:val="auto"/>
          <w:sz w:val="24"/>
          <w:szCs w:val="24"/>
        </w:rPr>
      </w:pPr>
      <w:bookmarkStart w:id="26" w:name="_Toc1625"/>
      <w:bookmarkStart w:id="27"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6"/>
      <w:bookmarkEnd w:id="27"/>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8" w:name="_Toc9130"/>
      <w:bookmarkStart w:id="29" w:name="_Toc3139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8"/>
      <w:bookmarkEnd w:id="29"/>
    </w:p>
    <w:bookmarkEnd w:id="18"/>
    <w:bookmarkEnd w:id="19"/>
    <w:p>
      <w:pPr>
        <w:ind w:firstLine="480" w:firstLineChars="200"/>
        <w:jc w:val="left"/>
        <w:rPr>
          <w:rFonts w:ascii="方正仿宋_GBK" w:hAnsi="宋体" w:eastAsia="方正仿宋_GBK" w:cs="Times New Roman"/>
          <w:color w:val="auto"/>
          <w:sz w:val="24"/>
          <w:szCs w:val="24"/>
        </w:rPr>
      </w:pPr>
      <w:bookmarkStart w:id="30"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30"/>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31"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31"/>
    </w:p>
    <w:p>
      <w:pPr>
        <w:pStyle w:val="3"/>
        <w:bidi w:val="0"/>
        <w:rPr>
          <w:rFonts w:hint="eastAsia" w:ascii="微软雅黑" w:hAnsi="微软雅黑" w:eastAsia="微软雅黑" w:cs="微软雅黑"/>
          <w:color w:val="auto"/>
          <w:sz w:val="24"/>
          <w:szCs w:val="24"/>
        </w:rPr>
      </w:pPr>
      <w:bookmarkStart w:id="32" w:name="_Toc11386"/>
      <w:r>
        <w:rPr>
          <w:rFonts w:hint="eastAsia" w:ascii="微软雅黑" w:hAnsi="微软雅黑" w:eastAsia="微软雅黑" w:cs="微软雅黑"/>
          <w:color w:val="auto"/>
          <w:sz w:val="24"/>
          <w:szCs w:val="24"/>
        </w:rPr>
        <w:t>一、比选费用</w:t>
      </w:r>
      <w:bookmarkEnd w:id="32"/>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3" w:name="_Toc8430"/>
      <w:r>
        <w:rPr>
          <w:rFonts w:hint="eastAsia" w:ascii="微软雅黑" w:hAnsi="微软雅黑" w:eastAsia="微软雅黑" w:cs="微软雅黑"/>
          <w:color w:val="auto"/>
          <w:sz w:val="24"/>
          <w:szCs w:val="24"/>
        </w:rPr>
        <w:t>二、比选文件</w:t>
      </w:r>
      <w:bookmarkEnd w:id="33"/>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4" w:name="_Toc23254"/>
      <w:r>
        <w:rPr>
          <w:rFonts w:hint="eastAsia" w:ascii="微软雅黑" w:hAnsi="微软雅黑" w:eastAsia="微软雅黑" w:cs="微软雅黑"/>
          <w:color w:val="auto"/>
          <w:sz w:val="24"/>
          <w:szCs w:val="24"/>
        </w:rPr>
        <w:t>三、比选要求</w:t>
      </w:r>
      <w:bookmarkEnd w:id="34"/>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adjustRightInd w:val="0"/>
        <w:spacing w:line="500" w:lineRule="exact"/>
        <w:ind w:firstLine="480"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color w:val="auto"/>
          <w:kern w:val="2"/>
          <w:sz w:val="24"/>
          <w:szCs w:val="24"/>
          <w:lang w:val="en-US" w:eastAsia="zh-CN" w:bidi="ar-SA"/>
        </w:rPr>
        <w:t>报价要求：</w:t>
      </w:r>
      <w:r>
        <w:rPr>
          <w:rFonts w:hint="eastAsia" w:ascii="方正仿宋_GBK" w:hAnsi="宋体" w:eastAsia="方正仿宋_GBK" w:cs="Times New Roman"/>
          <w:color w:val="auto"/>
          <w:kern w:val="2"/>
          <w:sz w:val="24"/>
          <w:szCs w:val="24"/>
          <w:lang w:val="en-US" w:eastAsia="zh-CN" w:bidi="ar-SA"/>
        </w:rPr>
        <w:t>本工程为总价包干（包含但不限于人工费、材料费、机械费、保险费、税费等各项费用）。投标人根据2018年《重庆市房屋建筑与装饰工程计价定额》《重庆市通用安装工程计价定额》《重庆市房屋修缮工程计价定额》及相关配套文件自主报价，同时提交详尽的工程报价及实施方案。投标人应充分考虑完成本工程的各种因素并满足甲方使用要求，除设计变更或采购方要求的改动内容外，总价不作调整。设计变更或采购方要求的改动内容执行上述定额按实结算，其中为人工、材料价格按施工同期《重庆工程造价信息》发布价取算数平均值，造价信息没有的材料由双方共同认质认价(报价表见第六章)。</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5" w:name="OLE_LINK3"/>
      <w:bookmarkStart w:id="36" w:name="OLE_LINK9"/>
      <w:bookmarkStart w:id="37"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5"/>
    <w:bookmarkEnd w:id="36"/>
    <w:bookmarkEnd w:id="37"/>
    <w:p>
      <w:pPr>
        <w:snapToGrid w:val="0"/>
        <w:spacing w:line="400" w:lineRule="exact"/>
        <w:ind w:firstLine="480" w:firstLineChars="200"/>
        <w:rPr>
          <w:rFonts w:hint="eastAsia" w:ascii="方正仿宋_GBK" w:hAnsi="宋体" w:eastAsia="方正仿宋_GBK" w:cs="Times New Roman"/>
          <w:color w:val="auto"/>
          <w:sz w:val="24"/>
          <w:szCs w:val="24"/>
        </w:rPr>
      </w:pPr>
      <w:bookmarkStart w:id="38" w:name="_Toc19143"/>
      <w:bookmarkStart w:id="39" w:name="_Toc102227319"/>
      <w:bookmarkStart w:id="40" w:name="_Toc403569780"/>
      <w:bookmarkStart w:id="41" w:name="_Toc18122"/>
      <w:bookmarkStart w:id="42" w:name="_Toc179714298"/>
      <w:bookmarkStart w:id="43"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8"/>
      <w:bookmarkEnd w:id="39"/>
      <w:bookmarkEnd w:id="40"/>
      <w:bookmarkEnd w:id="41"/>
      <w:bookmarkEnd w:id="42"/>
      <w:bookmarkEnd w:id="43"/>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4" w:name="_Toc403569781"/>
      <w:bookmarkStart w:id="45" w:name="_Toc28776"/>
      <w:bookmarkStart w:id="46" w:name="_Toc14247"/>
      <w:bookmarkStart w:id="47" w:name="_Toc102227320"/>
      <w:bookmarkStart w:id="48" w:name="_Toc342913394"/>
      <w:r>
        <w:rPr>
          <w:rFonts w:hint="eastAsia" w:ascii="微软雅黑" w:hAnsi="微软雅黑" w:eastAsia="微软雅黑" w:cs="微软雅黑"/>
          <w:color w:val="auto"/>
          <w:sz w:val="24"/>
          <w:szCs w:val="24"/>
        </w:rPr>
        <w:t>五、评审依据</w:t>
      </w:r>
      <w:bookmarkEnd w:id="44"/>
      <w:bookmarkEnd w:id="45"/>
      <w:bookmarkEnd w:id="46"/>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9" w:name="_Toc403569782"/>
      <w:bookmarkStart w:id="50" w:name="_Toc29340"/>
      <w:bookmarkStart w:id="51" w:name="_Toc14816"/>
      <w:r>
        <w:rPr>
          <w:rFonts w:hint="eastAsia" w:ascii="微软雅黑" w:hAnsi="微软雅黑" w:eastAsia="微软雅黑" w:cs="微软雅黑"/>
          <w:color w:val="auto"/>
          <w:sz w:val="24"/>
          <w:szCs w:val="24"/>
        </w:rPr>
        <w:t>六、成交</w:t>
      </w:r>
      <w:bookmarkEnd w:id="47"/>
      <w:r>
        <w:rPr>
          <w:rFonts w:hint="eastAsia" w:ascii="微软雅黑" w:hAnsi="微软雅黑" w:eastAsia="微软雅黑" w:cs="微软雅黑"/>
          <w:color w:val="auto"/>
          <w:sz w:val="24"/>
          <w:szCs w:val="24"/>
        </w:rPr>
        <w:t>原则</w:t>
      </w:r>
      <w:bookmarkEnd w:id="48"/>
      <w:bookmarkEnd w:id="49"/>
      <w:bookmarkEnd w:id="50"/>
      <w:bookmarkEnd w:id="51"/>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（4）评审小组将依照评审办法提出3名以上成交候选人。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2" w:name="_Toc102227321"/>
      <w:bookmarkStart w:id="53" w:name="_Toc7135"/>
      <w:bookmarkStart w:id="54" w:name="_Toc3212"/>
      <w:bookmarkStart w:id="55" w:name="_Toc403569783"/>
      <w:bookmarkStart w:id="56" w:name="_Toc342913395"/>
      <w:r>
        <w:rPr>
          <w:rFonts w:hint="eastAsia" w:ascii="微软雅黑" w:hAnsi="微软雅黑" w:eastAsia="微软雅黑" w:cs="微软雅黑"/>
          <w:color w:val="auto"/>
          <w:sz w:val="24"/>
          <w:szCs w:val="24"/>
        </w:rPr>
        <w:t>七、成交通知</w:t>
      </w:r>
      <w:bookmarkEnd w:id="52"/>
      <w:bookmarkEnd w:id="53"/>
      <w:bookmarkEnd w:id="54"/>
      <w:bookmarkEnd w:id="55"/>
      <w:bookmarkEnd w:id="56"/>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7" w:name="_Toc12880"/>
      <w:bookmarkStart w:id="58" w:name="_Toc403569784"/>
      <w:bookmarkStart w:id="59" w:name="_Toc17413"/>
      <w:r>
        <w:rPr>
          <w:rFonts w:hint="eastAsia" w:ascii="微软雅黑" w:hAnsi="微软雅黑" w:eastAsia="微软雅黑" w:cs="微软雅黑"/>
          <w:color w:val="auto"/>
          <w:sz w:val="24"/>
          <w:szCs w:val="24"/>
        </w:rPr>
        <w:t>八、关于质疑和投诉</w:t>
      </w:r>
      <w:bookmarkEnd w:id="57"/>
      <w:bookmarkEnd w:id="58"/>
      <w:bookmarkEnd w:id="59"/>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60" w:name="_Toc102227322"/>
      <w:bookmarkStart w:id="61" w:name="_Toc6381"/>
      <w:bookmarkStart w:id="62" w:name="_Toc342913396"/>
      <w:bookmarkStart w:id="63"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4" w:name="_Toc5728"/>
      <w:r>
        <w:rPr>
          <w:rFonts w:hint="eastAsia" w:ascii="微软雅黑" w:hAnsi="微软雅黑" w:eastAsia="微软雅黑" w:cs="微软雅黑"/>
          <w:color w:val="auto"/>
          <w:sz w:val="24"/>
          <w:szCs w:val="24"/>
        </w:rPr>
        <w:t>九、签订</w:t>
      </w:r>
      <w:bookmarkEnd w:id="60"/>
      <w:r>
        <w:rPr>
          <w:rFonts w:hint="eastAsia" w:ascii="微软雅黑" w:hAnsi="微软雅黑" w:eastAsia="微软雅黑" w:cs="微软雅黑"/>
          <w:color w:val="auto"/>
          <w:sz w:val="24"/>
          <w:szCs w:val="24"/>
        </w:rPr>
        <w:t>合同</w:t>
      </w:r>
      <w:bookmarkEnd w:id="61"/>
      <w:bookmarkEnd w:id="62"/>
      <w:bookmarkEnd w:id="63"/>
      <w:bookmarkEnd w:id="6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5" w:name="_Toc11770"/>
      <w:bookmarkStart w:id="66"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5"/>
      <w:bookmarkEnd w:id="66"/>
    </w:p>
    <w:p>
      <w:pPr>
        <w:snapToGrid w:val="0"/>
        <w:spacing w:line="400" w:lineRule="exact"/>
        <w:ind w:firstLine="482" w:firstLineChars="200"/>
        <w:rPr>
          <w:rFonts w:hint="eastAsia" w:ascii="方正仿宋_GBK" w:hAnsi="宋体" w:eastAsia="方正仿宋_GBK" w:cs="Times New Roman"/>
          <w:b/>
          <w:bCs/>
          <w:color w:val="auto"/>
          <w:sz w:val="24"/>
          <w:szCs w:val="24"/>
          <w:lang w:eastAsia="zh-CN"/>
        </w:rPr>
      </w:pPr>
      <w:bookmarkStart w:id="67" w:name="_Toc12789058"/>
      <w:r>
        <w:rPr>
          <w:rFonts w:hint="eastAsia" w:ascii="方正仿宋_GBK" w:hAnsi="宋体" w:eastAsia="方正仿宋_GBK" w:cs="Times New Roman"/>
          <w:b/>
          <w:bCs/>
          <w:color w:val="auto"/>
          <w:sz w:val="24"/>
          <w:szCs w:val="24"/>
          <w:lang w:eastAsia="zh-CN"/>
        </w:rPr>
        <w:t>一、服务需求</w:t>
      </w:r>
    </w:p>
    <w:p>
      <w:pPr>
        <w:snapToGrid w:val="0"/>
        <w:spacing w:line="400" w:lineRule="exact"/>
        <w:ind w:firstLine="480" w:firstLineChars="200"/>
        <w:rPr>
          <w:rFonts w:hint="default" w:ascii="方正仿宋_GBK" w:hAnsi="宋体" w:eastAsia="方正仿宋_GBK" w:cs="Times New Roman"/>
          <w:color w:val="auto"/>
          <w:sz w:val="24"/>
          <w:szCs w:val="24"/>
          <w:lang w:val="en-US"/>
        </w:rPr>
      </w:pPr>
      <w:r>
        <w:rPr>
          <w:rFonts w:hint="eastAsia" w:ascii="方正仿宋_GBK" w:hAnsi="宋体" w:eastAsia="方正仿宋_GBK" w:cs="Times New Roman"/>
          <w:color w:val="auto"/>
          <w:sz w:val="24"/>
          <w:szCs w:val="24"/>
        </w:rPr>
        <w:t>1、项目内容：</w:t>
      </w:r>
      <w:r>
        <w:rPr>
          <w:rFonts w:hint="eastAsia" w:ascii="方正仿宋_GBK" w:hAnsi="宋体" w:eastAsia="方正仿宋_GBK" w:cs="Times New Roman"/>
          <w:color w:val="auto"/>
          <w:sz w:val="24"/>
          <w:szCs w:val="24"/>
          <w:lang w:val="en-US" w:eastAsia="zh-CN"/>
        </w:rPr>
        <w:t>6号楼会议室装修改造项目内容详见图纸（含空调系统）。安全文明施工费、措施费等由各投标单位结合自身情况统一报价，招标前符合资格的单位统一安排时间现场勘查</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勘查完成后统一发放图纸，不到现场勘查的单位，取消其成交供应商资格。</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量要求：本项目中所使用的各项材料须为正规厂家生产的全新合格产品，产品质量须符合国家相关行业的产品质量标准及要求，各项材料需出具产品合格证书及相应的出厂检测报告，检测报告必须真实有效；</w:t>
      </w:r>
      <w:r>
        <w:rPr>
          <w:rFonts w:hint="eastAsia" w:ascii="方正仿宋_GBK" w:hAnsi="宋体" w:eastAsia="方正仿宋_GBK" w:cs="Times New Roman"/>
          <w:color w:val="auto"/>
          <w:sz w:val="24"/>
          <w:szCs w:val="24"/>
          <w:lang w:val="en-US" w:eastAsia="zh-CN"/>
        </w:rPr>
        <w:t>施工过程中完成相应的材料抽样检测及实体检测并出具合格的检验报告</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施工质量应达到国家相关规范、标准及要求</w:t>
      </w:r>
      <w:r>
        <w:rPr>
          <w:rFonts w:hint="eastAsia" w:ascii="方正仿宋_GBK" w:hAnsi="宋体" w:eastAsia="方正仿宋_GBK" w:cs="Times New Roman"/>
          <w:color w:val="auto"/>
          <w:sz w:val="24"/>
          <w:szCs w:val="24"/>
          <w:lang w:val="en-US" w:eastAsia="zh-CN"/>
        </w:rPr>
        <w:t>，</w:t>
      </w:r>
      <w:r>
        <w:rPr>
          <w:rFonts w:hint="eastAsia" w:ascii="方正仿宋_GBK" w:hAnsi="宋体" w:eastAsia="方正仿宋_GBK" w:cs="Times New Roman"/>
          <w:color w:val="auto"/>
          <w:sz w:val="24"/>
          <w:szCs w:val="24"/>
        </w:rPr>
        <w:t>施工完成后提供完整的竣工资料</w:t>
      </w:r>
      <w:r>
        <w:rPr>
          <w:rFonts w:hint="eastAsia" w:ascii="方正仿宋_GBK" w:hAnsi="宋体" w:eastAsia="方正仿宋_GBK" w:cs="Times New Roman"/>
          <w:color w:val="auto"/>
          <w:sz w:val="24"/>
          <w:szCs w:val="24"/>
          <w:lang w:val="en-US" w:eastAsia="zh-CN"/>
        </w:rPr>
        <w:t>两</w:t>
      </w:r>
      <w:r>
        <w:rPr>
          <w:rFonts w:hint="eastAsia" w:ascii="方正仿宋_GBK" w:hAnsi="宋体" w:eastAsia="方正仿宋_GBK" w:cs="Times New Roman"/>
          <w:color w:val="auto"/>
          <w:sz w:val="24"/>
          <w:szCs w:val="24"/>
        </w:rPr>
        <w:t>份。</w:t>
      </w:r>
    </w:p>
    <w:p>
      <w:pPr>
        <w:snapToGrid w:val="0"/>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人员要求：本项目需至少安排管理人员1名和技术人员1名，均为本公司员工（提供社保证明），技术人员需具有中华人民共和国应急管理部（原国家安全生产监督管理局）颁发的“焊接与热切割作业”证书。项目开工前，管理人员及技术人员必须到位，直至项目竣工验收完成止，未经我院同意不得随意更换管理人员及技术人员。</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开工前责任科室需提交临时施工许可证申请，相关部门审核通过后并办理了临时施工许可证后方可进行施工。</w:t>
      </w:r>
      <w:r>
        <w:rPr>
          <w:rFonts w:hint="eastAsia" w:ascii="方正仿宋_GBK" w:hAnsi="宋体" w:eastAsia="方正仿宋_GBK" w:cs="Times New Roman"/>
          <w:color w:val="auto"/>
          <w:sz w:val="24"/>
          <w:szCs w:val="24"/>
        </w:rPr>
        <w:t>在施工过程中，中标方应采取有效的安全措施，保证施工人员和其他人员的人身安全</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lang w:val="en-US" w:eastAsia="zh-CN"/>
        </w:rPr>
        <w:t>同时严格遵守第三方服务单位安全生产管理办法，如需动火动焊还应完善相应的动火动焊审批，方可进行施工。中标方需</w:t>
      </w:r>
      <w:r>
        <w:rPr>
          <w:rFonts w:hint="eastAsia" w:ascii="方正仿宋_GBK" w:hAnsi="宋体" w:eastAsia="方正仿宋_GBK" w:cs="Times New Roman"/>
          <w:color w:val="auto"/>
          <w:sz w:val="24"/>
          <w:szCs w:val="24"/>
        </w:rPr>
        <w:t>承担因安全事故导致的一切经济和法律责任</w:t>
      </w:r>
      <w:r>
        <w:rPr>
          <w:rFonts w:hint="eastAsia" w:ascii="方正仿宋_GBK" w:hAnsi="宋体" w:eastAsia="方正仿宋_GBK" w:cs="Times New Roman"/>
          <w:color w:val="auto"/>
          <w:sz w:val="24"/>
          <w:szCs w:val="24"/>
          <w:lang w:eastAsia="zh-CN"/>
        </w:rPr>
        <w:t>，</w:t>
      </w:r>
      <w:r>
        <w:rPr>
          <w:rFonts w:hint="eastAsia" w:ascii="方正仿宋_GBK" w:hAnsi="宋体" w:eastAsia="方正仿宋_GBK" w:cs="Times New Roman"/>
          <w:color w:val="auto"/>
          <w:sz w:val="24"/>
          <w:szCs w:val="24"/>
        </w:rPr>
        <w:t>如有损坏财产</w:t>
      </w:r>
      <w:r>
        <w:rPr>
          <w:rFonts w:hint="eastAsia" w:ascii="方正仿宋_GBK" w:hAnsi="宋体" w:eastAsia="方正仿宋_GBK" w:cs="Times New Roman"/>
          <w:color w:val="auto"/>
          <w:sz w:val="24"/>
          <w:szCs w:val="24"/>
          <w:lang w:val="en-US" w:eastAsia="zh-CN"/>
        </w:rPr>
        <w:t>须</w:t>
      </w:r>
      <w:r>
        <w:rPr>
          <w:rFonts w:hint="eastAsia" w:ascii="方正仿宋_GBK" w:hAnsi="宋体" w:eastAsia="方正仿宋_GBK" w:cs="Times New Roman"/>
          <w:color w:val="auto"/>
          <w:sz w:val="24"/>
          <w:szCs w:val="24"/>
        </w:rPr>
        <w:t>照价赔偿。</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本项目完工后需做好各项售后服务。</w:t>
      </w: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snapToGrid w:val="0"/>
        <w:spacing w:line="400" w:lineRule="exact"/>
        <w:ind w:firstLine="480" w:firstLineChars="200"/>
        <w:rPr>
          <w:rFonts w:hint="eastAsia" w:ascii="方正仿宋_GBK" w:hAnsi="宋体" w:eastAsia="方正仿宋_GBK" w:cs="Times New Roman"/>
          <w:color w:val="auto"/>
          <w:sz w:val="24"/>
          <w:szCs w:val="24"/>
        </w:rPr>
      </w:pPr>
    </w:p>
    <w:p>
      <w:pPr>
        <w:rPr>
          <w:rFonts w:hint="eastAsia"/>
          <w:color w:val="auto"/>
        </w:rPr>
      </w:pPr>
      <w:bookmarkStart w:id="68" w:name="_Toc485108787"/>
      <w:bookmarkStart w:id="69" w:name="_Toc28327"/>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7"/>
      <w:bookmarkEnd w:id="68"/>
      <w:bookmarkEnd w:id="69"/>
      <w:bookmarkStart w:id="70" w:name="_Toc12789059"/>
      <w:bookmarkStart w:id="71" w:name="_Toc11641055"/>
    </w:p>
    <w:p>
      <w:pPr>
        <w:pStyle w:val="3"/>
        <w:spacing w:line="240" w:lineRule="auto"/>
        <w:rPr>
          <w:rFonts w:hint="eastAsia" w:ascii="微软雅黑" w:hAnsi="微软雅黑" w:eastAsia="微软雅黑" w:cs="微软雅黑"/>
          <w:color w:val="auto"/>
          <w:sz w:val="24"/>
          <w:szCs w:val="24"/>
          <w:lang w:val="en-US" w:eastAsia="zh-CN"/>
        </w:rPr>
      </w:pPr>
      <w:bookmarkStart w:id="72" w:name="_Toc11645"/>
      <w:bookmarkStart w:id="73" w:name="_Toc485108793"/>
      <w:bookmarkStart w:id="74" w:name="_Toc7358"/>
      <w:bookmarkStart w:id="75" w:name="_Toc403569795"/>
      <w:r>
        <w:rPr>
          <w:rFonts w:hint="eastAsia" w:ascii="微软雅黑" w:hAnsi="微软雅黑" w:eastAsia="微软雅黑" w:cs="微软雅黑"/>
          <w:color w:val="auto"/>
          <w:sz w:val="24"/>
          <w:szCs w:val="24"/>
          <w:lang w:val="en-US" w:eastAsia="zh-CN"/>
        </w:rPr>
        <w:t>一、商务需求</w:t>
      </w:r>
    </w:p>
    <w:p>
      <w:pPr>
        <w:pStyle w:val="268"/>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1、质保期：2年。</w:t>
      </w:r>
    </w:p>
    <w:p>
      <w:pPr>
        <w:pStyle w:val="268"/>
        <w:spacing w:line="560" w:lineRule="exact"/>
        <w:ind w:firstLine="480" w:firstLineChars="200"/>
        <w:rPr>
          <w:rFonts w:hint="eastAsia" w:ascii="方正仿宋_GBK" w:hAnsi="宋体" w:eastAsia="方正仿宋_GBK" w:cs="Times New Roman"/>
          <w:color w:val="auto"/>
          <w:kern w:val="2"/>
          <w:sz w:val="24"/>
          <w:szCs w:val="24"/>
          <w:lang w:val="en-US" w:eastAsia="zh-CN" w:bidi="ar-SA"/>
        </w:rPr>
      </w:pPr>
      <w:r>
        <w:rPr>
          <w:rFonts w:hint="eastAsia" w:ascii="方正仿宋_GBK" w:hAnsi="宋体" w:eastAsia="方正仿宋_GBK" w:cs="Times New Roman"/>
          <w:color w:val="auto"/>
          <w:kern w:val="2"/>
          <w:sz w:val="24"/>
          <w:szCs w:val="24"/>
          <w:lang w:val="en-US" w:eastAsia="zh-CN" w:bidi="ar-SA"/>
        </w:rPr>
        <w:t>2、付款方式：本次采购无预付款，全部改造内容完成后，经我方验收合格，凭正式发票于60日内转账支付合同总价的95%，余款5%为履约保证金，在质保期满后无息支付。</w:t>
      </w:r>
    </w:p>
    <w:p>
      <w:pPr>
        <w:pStyle w:val="51"/>
        <w:spacing w:before="0" w:beforeAutospacing="0" w:after="0" w:afterAutospacing="0" w:line="560" w:lineRule="exact"/>
        <w:ind w:firstLine="5600" w:firstLineChars="2000"/>
        <w:rPr>
          <w:color w:val="auto"/>
          <w:sz w:val="28"/>
          <w:szCs w:val="28"/>
        </w:rPr>
      </w:pPr>
    </w:p>
    <w:p>
      <w:pPr>
        <w:spacing w:line="560" w:lineRule="exact"/>
        <w:ind w:firstLine="560" w:firstLineChars="200"/>
        <w:rPr>
          <w:rFonts w:hint="eastAsia" w:ascii="宋体" w:hAnsi="宋体" w:cs="MS Shell Dlg"/>
          <w:color w:val="auto"/>
          <w:sz w:val="28"/>
          <w:szCs w:val="28"/>
        </w:rPr>
      </w:pP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2"/>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3"/>
      <w:bookmarkEnd w:id="74"/>
      <w:bookmarkEnd w:id="75"/>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70"/>
      <w:bookmarkEnd w:id="71"/>
      <w:bookmarkStart w:id="76" w:name="_Toc403569796"/>
      <w:bookmarkStart w:id="77" w:name="_Toc485108794"/>
      <w:bookmarkStart w:id="78" w:name="_Toc14840"/>
      <w:bookmarkStart w:id="79" w:name="_Toc148265480"/>
      <w:bookmarkStart w:id="80" w:name="_Toc303945820"/>
      <w:r>
        <w:rPr>
          <w:rFonts w:hint="eastAsia" w:ascii="微软雅黑" w:hAnsi="微软雅黑" w:eastAsia="微软雅黑" w:cs="微软雅黑"/>
          <w:b/>
          <w:color w:val="auto"/>
          <w:sz w:val="36"/>
          <w:szCs w:val="36"/>
        </w:rPr>
        <w:t>第五篇  合同草案条款</w:t>
      </w:r>
      <w:bookmarkEnd w:id="76"/>
      <w:bookmarkEnd w:id="77"/>
      <w:bookmarkEnd w:id="78"/>
    </w:p>
    <w:p>
      <w:pPr>
        <w:pStyle w:val="3"/>
        <w:spacing w:line="240" w:lineRule="auto"/>
        <w:rPr>
          <w:rFonts w:hint="eastAsia" w:ascii="微软雅黑" w:hAnsi="微软雅黑" w:eastAsia="微软雅黑" w:cs="微软雅黑"/>
          <w:color w:val="auto"/>
          <w:sz w:val="24"/>
          <w:szCs w:val="24"/>
        </w:rPr>
      </w:pPr>
      <w:bookmarkStart w:id="81" w:name="_Toc54718202"/>
      <w:bookmarkStart w:id="82" w:name="_Toc30815"/>
      <w:r>
        <w:rPr>
          <w:rFonts w:hint="eastAsia" w:ascii="微软雅黑" w:hAnsi="微软雅黑" w:eastAsia="微软雅黑" w:cs="微软雅黑"/>
          <w:color w:val="auto"/>
          <w:sz w:val="24"/>
          <w:szCs w:val="24"/>
        </w:rPr>
        <w:t>一、定义</w:t>
      </w:r>
      <w:bookmarkEnd w:id="81"/>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988"/>
      <w:r>
        <w:rPr>
          <w:rFonts w:hint="eastAsia" w:ascii="方正仿宋_GBK" w:hAnsi="宋体" w:eastAsia="方正仿宋_GBK" w:cs="Times New Roman"/>
          <w:color w:val="auto"/>
          <w:sz w:val="24"/>
          <w:szCs w:val="24"/>
        </w:rPr>
        <w:t>（一）甲方（需方）即重庆医科大学附属永川医院。</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5"/>
    </w:p>
    <w:p>
      <w:pPr>
        <w:snapToGrid w:val="0"/>
        <w:spacing w:line="400" w:lineRule="exact"/>
        <w:ind w:firstLine="480" w:firstLineChars="200"/>
        <w:jc w:val="left"/>
        <w:rPr>
          <w:rFonts w:ascii="方正仿宋_GBK" w:hAnsi="宋体" w:eastAsia="方正仿宋_GBK" w:cs="Times New Roman"/>
          <w:color w:val="auto"/>
          <w:sz w:val="24"/>
          <w:szCs w:val="24"/>
        </w:rPr>
      </w:pPr>
      <w:bookmarkStart w:id="86"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6"/>
    </w:p>
    <w:p>
      <w:pPr>
        <w:snapToGrid w:val="0"/>
        <w:spacing w:line="400" w:lineRule="exact"/>
        <w:ind w:firstLine="480" w:firstLineChars="200"/>
        <w:jc w:val="left"/>
        <w:rPr>
          <w:rFonts w:ascii="方正仿宋_GBK" w:hAnsi="宋体" w:eastAsia="方正仿宋_GBK" w:cs="Times New Roman"/>
          <w:color w:val="auto"/>
          <w:sz w:val="24"/>
          <w:szCs w:val="24"/>
        </w:rPr>
      </w:pPr>
      <w:bookmarkStart w:id="87"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7"/>
    </w:p>
    <w:p>
      <w:pPr>
        <w:pStyle w:val="3"/>
        <w:spacing w:line="240" w:lineRule="auto"/>
        <w:rPr>
          <w:rFonts w:hint="eastAsia" w:ascii="微软雅黑" w:hAnsi="微软雅黑" w:eastAsia="微软雅黑" w:cs="微软雅黑"/>
          <w:color w:val="auto"/>
          <w:sz w:val="24"/>
          <w:szCs w:val="24"/>
        </w:rPr>
      </w:pPr>
      <w:bookmarkStart w:id="88" w:name="_Toc17879"/>
      <w:bookmarkStart w:id="89"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8"/>
      <w:bookmarkEnd w:id="89"/>
    </w:p>
    <w:p>
      <w:pPr>
        <w:snapToGrid w:val="0"/>
        <w:spacing w:line="400" w:lineRule="exact"/>
        <w:ind w:firstLine="480" w:firstLineChars="200"/>
        <w:jc w:val="left"/>
        <w:rPr>
          <w:rFonts w:ascii="方正仿宋_GBK" w:hAnsi="宋体" w:eastAsia="方正仿宋_GBK" w:cs="Times New Roman"/>
          <w:color w:val="auto"/>
          <w:sz w:val="24"/>
          <w:szCs w:val="24"/>
        </w:rPr>
      </w:pPr>
      <w:bookmarkStart w:id="90" w:name="_Toc28967"/>
      <w:r>
        <w:rPr>
          <w:rFonts w:hint="eastAsia" w:ascii="方正仿宋_GBK" w:hAnsi="宋体" w:eastAsia="方正仿宋_GBK" w:cs="Times New Roman"/>
          <w:color w:val="auto"/>
          <w:sz w:val="24"/>
          <w:szCs w:val="24"/>
        </w:rPr>
        <w:t>合同包括以下内容：</w:t>
      </w:r>
      <w:bookmarkEnd w:id="90"/>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91" w:name="_Toc54718204"/>
      <w:bookmarkStart w:id="92" w:name="_Toc8853"/>
      <w:r>
        <w:rPr>
          <w:rFonts w:hint="eastAsia" w:ascii="微软雅黑" w:hAnsi="微软雅黑" w:eastAsia="微软雅黑" w:cs="微软雅黑"/>
          <w:color w:val="auto"/>
          <w:sz w:val="24"/>
          <w:szCs w:val="24"/>
        </w:rPr>
        <w:t>三、合同价格</w:t>
      </w:r>
      <w:bookmarkEnd w:id="91"/>
      <w:bookmarkEnd w:id="92"/>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25177"/>
      <w:bookmarkStart w:id="94"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3"/>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5"/>
    </w:p>
    <w:p>
      <w:pPr>
        <w:pStyle w:val="3"/>
        <w:spacing w:line="240" w:lineRule="auto"/>
        <w:rPr>
          <w:rFonts w:hint="eastAsia" w:ascii="微软雅黑" w:hAnsi="微软雅黑" w:eastAsia="微软雅黑" w:cs="微软雅黑"/>
          <w:color w:val="auto"/>
          <w:sz w:val="24"/>
          <w:szCs w:val="24"/>
        </w:rPr>
      </w:pPr>
      <w:bookmarkStart w:id="96" w:name="_Toc24410"/>
      <w:r>
        <w:rPr>
          <w:rFonts w:hint="eastAsia" w:ascii="微软雅黑" w:hAnsi="微软雅黑" w:eastAsia="微软雅黑" w:cs="微软雅黑"/>
          <w:color w:val="auto"/>
          <w:sz w:val="24"/>
          <w:szCs w:val="24"/>
        </w:rPr>
        <w:t>四、转包或分包</w:t>
      </w:r>
      <w:bookmarkEnd w:id="94"/>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7"/>
    </w:p>
    <w:p>
      <w:pPr>
        <w:snapToGrid w:val="0"/>
        <w:spacing w:line="400" w:lineRule="exact"/>
        <w:ind w:firstLine="480" w:firstLineChars="200"/>
        <w:jc w:val="left"/>
        <w:rPr>
          <w:rFonts w:ascii="方正仿宋_GBK" w:hAnsi="宋体" w:eastAsia="方正仿宋_GBK" w:cs="Times New Roman"/>
          <w:color w:val="auto"/>
          <w:sz w:val="24"/>
          <w:szCs w:val="24"/>
        </w:rPr>
      </w:pPr>
      <w:bookmarkStart w:id="98"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8"/>
    </w:p>
    <w:p>
      <w:pPr>
        <w:snapToGrid w:val="0"/>
        <w:spacing w:line="400" w:lineRule="exact"/>
        <w:ind w:firstLine="480" w:firstLineChars="200"/>
        <w:jc w:val="left"/>
        <w:rPr>
          <w:rFonts w:ascii="方正仿宋_GBK" w:hAnsi="宋体" w:eastAsia="方正仿宋_GBK" w:cs="Times New Roman"/>
          <w:color w:val="auto"/>
          <w:sz w:val="24"/>
          <w:szCs w:val="24"/>
        </w:rPr>
      </w:pPr>
      <w:bookmarkStart w:id="99"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9"/>
    </w:p>
    <w:p>
      <w:pPr>
        <w:pStyle w:val="3"/>
        <w:spacing w:line="240" w:lineRule="auto"/>
        <w:rPr>
          <w:rFonts w:hint="eastAsia" w:ascii="微软雅黑" w:hAnsi="微软雅黑" w:eastAsia="微软雅黑" w:cs="微软雅黑"/>
          <w:color w:val="auto"/>
          <w:sz w:val="24"/>
          <w:szCs w:val="24"/>
        </w:rPr>
      </w:pPr>
      <w:bookmarkStart w:id="100" w:name="_Toc54718206"/>
      <w:bookmarkStart w:id="101" w:name="_Toc2241"/>
      <w:r>
        <w:rPr>
          <w:rFonts w:hint="eastAsia" w:ascii="微软雅黑" w:hAnsi="微软雅黑" w:eastAsia="微软雅黑" w:cs="微软雅黑"/>
          <w:color w:val="auto"/>
          <w:sz w:val="24"/>
          <w:szCs w:val="24"/>
        </w:rPr>
        <w:t>五、质量保证及售后服务</w:t>
      </w:r>
      <w:bookmarkEnd w:id="100"/>
      <w:bookmarkEnd w:id="101"/>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2" w:name="_Toc12985"/>
      <w:bookmarkStart w:id="103"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2"/>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3"/>
    </w:p>
    <w:p>
      <w:pPr>
        <w:pStyle w:val="3"/>
        <w:spacing w:line="240" w:lineRule="auto"/>
        <w:rPr>
          <w:rFonts w:hint="eastAsia" w:ascii="微软雅黑" w:hAnsi="微软雅黑" w:eastAsia="微软雅黑" w:cs="微软雅黑"/>
          <w:color w:val="auto"/>
          <w:sz w:val="24"/>
          <w:szCs w:val="24"/>
        </w:rPr>
      </w:pPr>
      <w:bookmarkStart w:id="104" w:name="_Toc54718207"/>
      <w:bookmarkStart w:id="105" w:name="_Toc9053"/>
      <w:r>
        <w:rPr>
          <w:rFonts w:hint="eastAsia" w:ascii="微软雅黑" w:hAnsi="微软雅黑" w:eastAsia="微软雅黑" w:cs="微软雅黑"/>
          <w:color w:val="auto"/>
          <w:sz w:val="24"/>
          <w:szCs w:val="24"/>
        </w:rPr>
        <w:t>六、付款</w:t>
      </w:r>
      <w:bookmarkEnd w:id="104"/>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3183"/>
      <w:r>
        <w:rPr>
          <w:rFonts w:hint="eastAsia" w:ascii="方正仿宋_GBK" w:hAnsi="宋体" w:eastAsia="方正仿宋_GBK" w:cs="Times New Roman"/>
          <w:color w:val="auto"/>
          <w:sz w:val="24"/>
          <w:szCs w:val="24"/>
        </w:rPr>
        <w:t>（一）本合同使用货币币制如未作特别说明均为人民币。</w:t>
      </w:r>
      <w:bookmarkEnd w:id="106"/>
    </w:p>
    <w:p>
      <w:pPr>
        <w:snapToGrid w:val="0"/>
        <w:spacing w:line="400" w:lineRule="exact"/>
        <w:ind w:firstLine="480" w:firstLineChars="200"/>
        <w:jc w:val="left"/>
        <w:rPr>
          <w:rFonts w:ascii="方正仿宋_GBK" w:hAnsi="宋体" w:eastAsia="方正仿宋_GBK" w:cs="Times New Roman"/>
          <w:color w:val="auto"/>
          <w:sz w:val="24"/>
          <w:szCs w:val="24"/>
        </w:rPr>
      </w:pPr>
      <w:bookmarkStart w:id="107" w:name="_Toc8880"/>
      <w:r>
        <w:rPr>
          <w:rFonts w:hint="eastAsia" w:ascii="方正仿宋_GBK" w:hAnsi="宋体" w:eastAsia="方正仿宋_GBK" w:cs="Times New Roman"/>
          <w:color w:val="auto"/>
          <w:sz w:val="24"/>
          <w:szCs w:val="24"/>
        </w:rPr>
        <w:t>（二）付款方式：银行转账。</w:t>
      </w:r>
      <w:bookmarkEnd w:id="107"/>
    </w:p>
    <w:p>
      <w:pPr>
        <w:snapToGrid w:val="0"/>
        <w:spacing w:line="400" w:lineRule="exact"/>
        <w:ind w:firstLine="480" w:firstLineChars="200"/>
        <w:jc w:val="left"/>
        <w:rPr>
          <w:rFonts w:ascii="方正仿宋_GBK" w:hAnsi="宋体" w:eastAsia="方正仿宋_GBK" w:cs="Times New Roman"/>
          <w:color w:val="auto"/>
          <w:sz w:val="24"/>
          <w:szCs w:val="24"/>
        </w:rPr>
      </w:pPr>
      <w:bookmarkStart w:id="108"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8"/>
    </w:p>
    <w:p>
      <w:pPr>
        <w:pStyle w:val="3"/>
        <w:spacing w:line="240" w:lineRule="auto"/>
        <w:rPr>
          <w:rFonts w:hint="eastAsia" w:ascii="微软雅黑" w:hAnsi="微软雅黑" w:eastAsia="微软雅黑" w:cs="微软雅黑"/>
          <w:color w:val="auto"/>
          <w:sz w:val="24"/>
          <w:szCs w:val="24"/>
        </w:rPr>
      </w:pPr>
      <w:bookmarkStart w:id="109" w:name="_Toc11586"/>
      <w:bookmarkStart w:id="110"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9"/>
      <w:bookmarkEnd w:id="110"/>
    </w:p>
    <w:p>
      <w:pPr>
        <w:snapToGrid w:val="0"/>
        <w:spacing w:line="400" w:lineRule="exact"/>
        <w:ind w:firstLine="480" w:firstLineChars="200"/>
        <w:jc w:val="left"/>
        <w:rPr>
          <w:rFonts w:ascii="方正仿宋_GBK" w:hAnsi="宋体" w:eastAsia="方正仿宋_GBK" w:cs="Times New Roman"/>
          <w:color w:val="auto"/>
          <w:sz w:val="24"/>
          <w:szCs w:val="24"/>
        </w:rPr>
      </w:pPr>
      <w:bookmarkStart w:id="111" w:name="_Toc5382"/>
      <w:r>
        <w:rPr>
          <w:rFonts w:hint="eastAsia" w:ascii="方正仿宋_GBK" w:hAnsi="宋体" w:eastAsia="方正仿宋_GBK" w:cs="Times New Roman"/>
          <w:color w:val="auto"/>
          <w:sz w:val="24"/>
          <w:szCs w:val="24"/>
        </w:rPr>
        <w:t>（一）当事人友好协商达成一致</w:t>
      </w:r>
      <w:bookmarkEnd w:id="111"/>
    </w:p>
    <w:p>
      <w:pPr>
        <w:snapToGrid w:val="0"/>
        <w:spacing w:line="400" w:lineRule="exact"/>
        <w:ind w:firstLine="480" w:firstLineChars="200"/>
        <w:jc w:val="left"/>
        <w:rPr>
          <w:rFonts w:ascii="方正仿宋_GBK" w:hAnsi="宋体" w:eastAsia="方正仿宋_GBK" w:cs="Times New Roman"/>
          <w:color w:val="auto"/>
          <w:sz w:val="24"/>
          <w:szCs w:val="24"/>
        </w:rPr>
      </w:pPr>
      <w:bookmarkStart w:id="112" w:name="_Toc29926"/>
      <w:r>
        <w:rPr>
          <w:rFonts w:hint="eastAsia" w:ascii="方正仿宋_GBK" w:hAnsi="宋体" w:eastAsia="方正仿宋_GBK" w:cs="Times New Roman"/>
          <w:color w:val="auto"/>
          <w:sz w:val="24"/>
          <w:szCs w:val="24"/>
        </w:rPr>
        <w:t>（二）</w:t>
      </w:r>
      <w:bookmarkEnd w:id="112"/>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3" w:name="_Toc31719"/>
      <w:bookmarkStart w:id="114" w:name="_Toc54718210"/>
      <w:bookmarkStart w:id="115" w:name="_Toc54718212"/>
      <w:bookmarkStart w:id="116"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3"/>
      <w:bookmarkEnd w:id="114"/>
    </w:p>
    <w:p>
      <w:pPr>
        <w:snapToGrid w:val="0"/>
        <w:spacing w:line="400" w:lineRule="exact"/>
        <w:ind w:firstLine="480" w:firstLineChars="200"/>
        <w:rPr>
          <w:rFonts w:hint="eastAsia" w:ascii="方正仿宋_GBK" w:hAnsi="宋体" w:eastAsia="方正仿宋_GBK"/>
          <w:color w:val="auto"/>
          <w:sz w:val="24"/>
          <w:szCs w:val="24"/>
        </w:rPr>
      </w:pPr>
      <w:bookmarkStart w:id="117"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8" w:name="_Toc17287"/>
      <w:r>
        <w:rPr>
          <w:rFonts w:hint="eastAsia" w:ascii="方正仿宋_GBK" w:hAnsi="宋体" w:eastAsia="方正仿宋_GBK"/>
          <w:color w:val="auto"/>
          <w:sz w:val="24"/>
          <w:szCs w:val="24"/>
        </w:rPr>
        <w:t>（二）若涉及软件开发等服务类项目知识产权的，知识产权归医院所有。</w:t>
      </w:r>
      <w:bookmarkEnd w:id="118"/>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5"/>
      <w:bookmarkEnd w:id="116"/>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9"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20"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9"/>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7071"/>
      <w:r>
        <w:rPr>
          <w:rFonts w:hint="eastAsia" w:ascii="方正仿宋_GBK" w:hAnsi="宋体" w:eastAsia="方正仿宋_GBK" w:cs="Times New Roman"/>
          <w:color w:val="auto"/>
          <w:sz w:val="24"/>
          <w:szCs w:val="24"/>
        </w:rPr>
        <w:t>（一）合同生效及其效力应符合《中华人民共和国民法典》有关规定。</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3"/>
    </w:p>
    <w:p>
      <w:pPr>
        <w:snapToGrid w:val="0"/>
        <w:spacing w:line="400" w:lineRule="exact"/>
        <w:ind w:firstLine="480" w:firstLineChars="200"/>
        <w:jc w:val="left"/>
        <w:rPr>
          <w:rFonts w:ascii="方正仿宋_GBK" w:hAnsi="宋体" w:eastAsia="方正仿宋_GBK" w:cs="Times New Roman"/>
          <w:color w:val="auto"/>
          <w:sz w:val="24"/>
          <w:szCs w:val="24"/>
        </w:rPr>
      </w:pPr>
      <w:bookmarkStart w:id="124" w:name="_Toc28233"/>
      <w:r>
        <w:rPr>
          <w:rFonts w:hint="eastAsia" w:ascii="方正仿宋_GBK" w:hAnsi="宋体" w:eastAsia="方正仿宋_GBK" w:cs="Times New Roman"/>
          <w:color w:val="auto"/>
          <w:sz w:val="24"/>
          <w:szCs w:val="24"/>
        </w:rPr>
        <w:t>（四）合同需提供担保的，按《中华人民共和国担保法》规定执行。</w:t>
      </w:r>
      <w:bookmarkEnd w:id="124"/>
    </w:p>
    <w:p>
      <w:pPr>
        <w:snapToGrid w:val="0"/>
        <w:spacing w:line="400" w:lineRule="exact"/>
        <w:ind w:firstLine="480" w:firstLineChars="200"/>
        <w:jc w:val="left"/>
        <w:rPr>
          <w:rFonts w:ascii="方正仿宋_GBK" w:hAnsi="宋体" w:eastAsia="方正仿宋_GBK" w:cs="Times New Roman"/>
          <w:color w:val="auto"/>
          <w:sz w:val="24"/>
          <w:szCs w:val="24"/>
        </w:rPr>
      </w:pPr>
      <w:bookmarkStart w:id="125"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5"/>
    </w:p>
    <w:bookmarkEnd w:id="79"/>
    <w:bookmarkEnd w:id="80"/>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6" w:name="_Hlt41879464"/>
      <w:bookmarkEnd w:id="126"/>
      <w:bookmarkStart w:id="127" w:name="_Toc13696"/>
      <w:bookmarkStart w:id="128" w:name="_Toc485108795"/>
      <w:bookmarkStart w:id="129" w:name="_Toc12789072"/>
      <w:r>
        <w:rPr>
          <w:rFonts w:hint="eastAsia" w:ascii="微软雅黑" w:hAnsi="微软雅黑" w:eastAsia="微软雅黑" w:cs="微软雅黑"/>
          <w:b/>
          <w:color w:val="auto"/>
          <w:sz w:val="36"/>
          <w:szCs w:val="36"/>
        </w:rPr>
        <w:t>第六篇  响应文件格式要求</w:t>
      </w:r>
      <w:bookmarkEnd w:id="127"/>
      <w:bookmarkEnd w:id="128"/>
      <w:bookmarkEnd w:id="129"/>
    </w:p>
    <w:p>
      <w:pPr>
        <w:pStyle w:val="3"/>
        <w:spacing w:line="240" w:lineRule="auto"/>
        <w:rPr>
          <w:rFonts w:hint="eastAsia" w:ascii="微软雅黑" w:hAnsi="微软雅黑" w:eastAsia="微软雅黑" w:cs="微软雅黑"/>
          <w:color w:val="auto"/>
          <w:sz w:val="24"/>
          <w:szCs w:val="24"/>
        </w:rPr>
      </w:pPr>
      <w:bookmarkStart w:id="130" w:name="_Toc27382"/>
      <w:r>
        <w:rPr>
          <w:rFonts w:hint="eastAsia" w:ascii="微软雅黑" w:hAnsi="微软雅黑" w:eastAsia="微软雅黑" w:cs="微软雅黑"/>
          <w:color w:val="auto"/>
          <w:sz w:val="24"/>
          <w:szCs w:val="24"/>
        </w:rPr>
        <w:t>一、经济部分</w:t>
      </w:r>
      <w:bookmarkEnd w:id="130"/>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31" w:name="_Toc6305"/>
      <w:r>
        <w:rPr>
          <w:rFonts w:hint="eastAsia" w:ascii="微软雅黑" w:hAnsi="微软雅黑" w:eastAsia="微软雅黑" w:cs="微软雅黑"/>
          <w:color w:val="auto"/>
          <w:sz w:val="24"/>
          <w:szCs w:val="24"/>
        </w:rPr>
        <w:t>二、服务部分</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2" w:name="_Toc7207"/>
      <w:r>
        <w:rPr>
          <w:rFonts w:hint="eastAsia" w:ascii="微软雅黑" w:hAnsi="微软雅黑" w:eastAsia="微软雅黑" w:cs="微软雅黑"/>
          <w:color w:val="auto"/>
          <w:sz w:val="24"/>
          <w:szCs w:val="24"/>
        </w:rPr>
        <w:t>三、商务部分</w:t>
      </w:r>
      <w:bookmarkEnd w:id="132"/>
    </w:p>
    <w:p>
      <w:pPr>
        <w:snapToGrid w:val="0"/>
        <w:spacing w:line="360" w:lineRule="auto"/>
        <w:ind w:firstLine="480" w:firstLineChars="200"/>
        <w:rPr>
          <w:rFonts w:hint="eastAsia" w:ascii="微软雅黑" w:hAnsi="微软雅黑" w:eastAsia="微软雅黑" w:cs="微软雅黑"/>
          <w:color w:val="auto"/>
          <w:sz w:val="24"/>
          <w:szCs w:val="24"/>
        </w:rPr>
      </w:pPr>
      <w:bookmarkStart w:id="133" w:name="_Toc38358147"/>
      <w:bookmarkStart w:id="134" w:name="OLE_LINK11"/>
      <w:bookmarkStart w:id="135" w:name="OLE_LINK10"/>
      <w:r>
        <w:rPr>
          <w:rFonts w:hint="eastAsia" w:ascii="微软雅黑" w:hAnsi="微软雅黑" w:eastAsia="微软雅黑" w:cs="微软雅黑"/>
          <w:color w:val="auto"/>
          <w:sz w:val="24"/>
          <w:szCs w:val="24"/>
        </w:rPr>
        <w:t>（一）按照“第四篇  项目商务需求”提供相应资料</w:t>
      </w:r>
      <w:bookmarkEnd w:id="133"/>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6" w:name="_Toc18417"/>
      <w:r>
        <w:rPr>
          <w:rFonts w:hint="eastAsia" w:ascii="微软雅黑" w:hAnsi="微软雅黑" w:eastAsia="微软雅黑" w:cs="微软雅黑"/>
          <w:color w:val="auto"/>
          <w:sz w:val="24"/>
          <w:szCs w:val="24"/>
        </w:rPr>
        <w:t>四、资格条件及其他</w:t>
      </w:r>
      <w:bookmarkEnd w:id="136"/>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7" w:name="_Toc19884"/>
      <w:r>
        <w:rPr>
          <w:rFonts w:hint="eastAsia" w:ascii="微软雅黑" w:hAnsi="微软雅黑" w:eastAsia="微软雅黑" w:cs="微软雅黑"/>
          <w:color w:val="auto"/>
          <w:sz w:val="24"/>
          <w:szCs w:val="24"/>
        </w:rPr>
        <w:t>五、其他应提供的资料</w:t>
      </w:r>
      <w:bookmarkEnd w:id="137"/>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4"/>
    <w:bookmarkEnd w:id="135"/>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8" w:name="_Toc313888360"/>
      <w:bookmarkStart w:id="139" w:name="_Toc313008356"/>
      <w:bookmarkStart w:id="140" w:name="_Toc342913419"/>
      <w:bookmarkStart w:id="141" w:name="_Toc485108796"/>
      <w:bookmarkStart w:id="142" w:name="_Toc480979018"/>
      <w:bookmarkStart w:id="143" w:name="_Toc283382454"/>
      <w:bookmarkStart w:id="144" w:name="_Toc12789073"/>
      <w:r>
        <w:rPr>
          <w:rFonts w:hint="eastAsia"/>
          <w:b/>
          <w:color w:val="auto"/>
        </w:rPr>
        <w:t>经济部分</w:t>
      </w:r>
      <w:bookmarkEnd w:id="138"/>
      <w:bookmarkEnd w:id="139"/>
      <w:bookmarkEnd w:id="140"/>
      <w:bookmarkEnd w:id="141"/>
      <w:bookmarkEnd w:id="142"/>
    </w:p>
    <w:p>
      <w:pPr>
        <w:pStyle w:val="180"/>
        <w:ind w:left="450" w:firstLine="0" w:firstLineChars="0"/>
        <w:rPr>
          <w:b/>
          <w:color w:val="auto"/>
        </w:rPr>
      </w:pPr>
    </w:p>
    <w:bookmarkEnd w:id="143"/>
    <w:bookmarkEnd w:id="144"/>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6300"/>
        </w:tabs>
        <w:snapToGrid w:val="0"/>
        <w:spacing w:line="360" w:lineRule="auto"/>
        <w:jc w:val="center"/>
        <w:rPr>
          <w:rFonts w:hint="eastAsia" w:ascii="方正仿宋_GBK" w:hAnsi="宋体" w:eastAsia="方正仿宋_GBK" w:cs="Times New Roman"/>
          <w:color w:val="auto"/>
          <w:sz w:val="24"/>
          <w:szCs w:val="24"/>
        </w:rPr>
      </w:pPr>
      <w:bookmarkStart w:id="145" w:name="_Toc480979019"/>
      <w:bookmarkStart w:id="146" w:name="_Toc485108797"/>
      <w:bookmarkStart w:id="147" w:name="_Toc313888361"/>
      <w:bookmarkStart w:id="148" w:name="_Toc313008357"/>
      <w:bookmarkStart w:id="149" w:name="_Toc342913420"/>
      <w:r>
        <w:rPr>
          <w:rFonts w:hint="eastAsia" w:ascii="方正仿宋_GBK" w:hAnsi="宋体" w:eastAsia="方正仿宋_GBK" w:cs="Times New Roman"/>
          <w:color w:val="auto"/>
          <w:sz w:val="24"/>
          <w:szCs w:val="24"/>
        </w:rPr>
        <w:t>报 价 表</w:t>
      </w:r>
    </w:p>
    <w:tbl>
      <w:tblPr>
        <w:tblStyle w:val="58"/>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4"/>
        <w:gridCol w:w="2608"/>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5" w:hRule="atLeast"/>
        </w:trPr>
        <w:tc>
          <w:tcPr>
            <w:tcW w:w="3884"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tc>
        <w:tc>
          <w:tcPr>
            <w:tcW w:w="2608"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费用（元）</w:t>
            </w:r>
          </w:p>
        </w:tc>
        <w:tc>
          <w:tcPr>
            <w:tcW w:w="2410"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884" w:type="dxa"/>
            <w:vAlign w:val="center"/>
          </w:tcPr>
          <w:p>
            <w:pPr>
              <w:tabs>
                <w:tab w:val="left" w:pos="6300"/>
              </w:tabs>
              <w:snapToGrid w:val="0"/>
              <w:spacing w:line="360" w:lineRule="auto"/>
              <w:ind w:firstLine="480" w:firstLineChars="200"/>
              <w:rPr>
                <w:rFonts w:hint="default" w:ascii="方正仿宋_GBK" w:hAnsi="宋体" w:eastAsia="方正仿宋_GBK" w:cs="Times New Roman"/>
                <w:color w:val="auto"/>
                <w:sz w:val="24"/>
                <w:szCs w:val="24"/>
                <w:lang w:val="en-US" w:eastAsia="zh-CN"/>
              </w:rPr>
            </w:pPr>
            <w:r>
              <w:rPr>
                <w:rFonts w:hint="default"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lang w:val="en-US" w:eastAsia="zh-CN"/>
              </w:rPr>
              <w:t>号楼会议室装修改造</w:t>
            </w:r>
          </w:p>
        </w:tc>
        <w:tc>
          <w:tcPr>
            <w:tcW w:w="2608"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c>
          <w:tcPr>
            <w:tcW w:w="2410"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884"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工   期</w:t>
            </w:r>
          </w:p>
        </w:tc>
        <w:tc>
          <w:tcPr>
            <w:tcW w:w="5018" w:type="dxa"/>
            <w:gridSpan w:val="2"/>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884" w:type="dxa"/>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质保期</w:t>
            </w:r>
          </w:p>
        </w:tc>
        <w:tc>
          <w:tcPr>
            <w:tcW w:w="5018" w:type="dxa"/>
            <w:gridSpan w:val="2"/>
            <w:vAlign w:val="center"/>
          </w:tcPr>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p>
        </w:tc>
      </w:tr>
    </w:tbl>
    <w:p>
      <w:pPr>
        <w:tabs>
          <w:tab w:val="left" w:pos="6300"/>
        </w:tabs>
        <w:snapToGrid w:val="0"/>
        <w:spacing w:line="360" w:lineRule="auto"/>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备注：投标报价为包干价，包含但不限于材料费、人工费、运输费、搬运费、施工费、保险费、税费等各项费用。</w:t>
      </w: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5"/>
      <w:bookmarkEnd w:id="146"/>
      <w:bookmarkEnd w:id="147"/>
      <w:bookmarkEnd w:id="148"/>
      <w:bookmarkEnd w:id="149"/>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50" w:name="_Toc485108798"/>
      <w:bookmarkStart w:id="151" w:name="_Toc480979020"/>
      <w:bookmarkStart w:id="152" w:name="_Toc313008358"/>
      <w:bookmarkStart w:id="153" w:name="_Toc313888362"/>
      <w:bookmarkStart w:id="154" w:name="_Toc342913421"/>
      <w:r>
        <w:rPr>
          <w:rFonts w:hint="eastAsia"/>
          <w:b/>
          <w:color w:val="auto"/>
        </w:rPr>
        <w:t>三、商务部分</w:t>
      </w:r>
      <w:bookmarkEnd w:id="150"/>
      <w:bookmarkEnd w:id="151"/>
      <w:bookmarkEnd w:id="152"/>
      <w:bookmarkEnd w:id="153"/>
      <w:bookmarkEnd w:id="154"/>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5"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5"/>
      <w:bookmarkStart w:id="156" w:name="_Toc313888363"/>
      <w:bookmarkStart w:id="157" w:name="_Toc313008359"/>
      <w:bookmarkStart w:id="158"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6"/>
      <w:bookmarkEnd w:id="157"/>
      <w:bookmarkEnd w:id="158"/>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9" w:name="OLE_LINK4"/>
      <w:bookmarkStart w:id="160"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9"/>
    <w:bookmarkEnd w:id="160"/>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61" w:name="_Toc31463"/>
      <w:bookmarkStart w:id="162"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61"/>
    <w:bookmarkEnd w:id="162"/>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97B35DB-68E1-4195-9D87-A15743B188BF}"/>
  </w:font>
  <w:font w:name="黑体">
    <w:panose1 w:val="02010609060101010101"/>
    <w:charset w:val="86"/>
    <w:family w:val="auto"/>
    <w:pitch w:val="default"/>
    <w:sig w:usb0="800002BF" w:usb1="38CF7CFA" w:usb2="00000016" w:usb3="00000000" w:csb0="00040001" w:csb1="00000000"/>
    <w:embedRegular r:id="rId2" w:fontKey="{509D9216-349A-4A47-9A95-F14EBAE8852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E16F8A18-A48B-4273-BC87-201824451E83}"/>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67E2DCAC-EDFE-40A7-ADE7-F3733BE71545}"/>
  </w:font>
  <w:font w:name="方正小标宋简体">
    <w:panose1 w:val="02000000000000000000"/>
    <w:charset w:val="86"/>
    <w:family w:val="auto"/>
    <w:pitch w:val="default"/>
    <w:sig w:usb0="00000001" w:usb1="08000000" w:usb2="00000000" w:usb3="00000000" w:csb0="00040000" w:csb1="00000000"/>
    <w:embedRegular r:id="rId5" w:fontKey="{20EDEADC-DECF-4C3B-9891-48815484BE1C}"/>
  </w:font>
  <w:font w:name="方正黑体_GBK">
    <w:panose1 w:val="03000509000000000000"/>
    <w:charset w:val="86"/>
    <w:family w:val="script"/>
    <w:pitch w:val="default"/>
    <w:sig w:usb0="00000001" w:usb1="080E0000" w:usb2="00000000" w:usb3="00000000" w:csb0="00040000" w:csb1="00000000"/>
    <w:embedRegular r:id="rId6" w:fontKey="{2A24FAF4-ED63-485D-B086-FFE61076EBF9}"/>
  </w:font>
  <w:font w:name="方正小标宋_GBK">
    <w:panose1 w:val="02000000000000000000"/>
    <w:charset w:val="86"/>
    <w:family w:val="script"/>
    <w:pitch w:val="default"/>
    <w:sig w:usb0="00000001" w:usb1="080E0000" w:usb2="00000000" w:usb3="00000000" w:csb0="00040000" w:csb1="00000000"/>
    <w:embedRegular r:id="rId7" w:fontKey="{E73828CE-2857-4880-924E-37216E5E33B3}"/>
  </w:font>
  <w:font w:name="微软雅黑">
    <w:panose1 w:val="020B0503020204020204"/>
    <w:charset w:val="86"/>
    <w:family w:val="auto"/>
    <w:pitch w:val="default"/>
    <w:sig w:usb0="80000287" w:usb1="280F3C52" w:usb2="00000016" w:usb3="00000000" w:csb0="0004001F" w:csb1="00000000"/>
    <w:embedRegular r:id="rId8" w:fontKey="{E435CA1A-5078-4C1F-9C36-DD18419D3DF7}"/>
  </w:font>
  <w:font w:name="方正仿宋_GBK">
    <w:panose1 w:val="03000509000000000000"/>
    <w:charset w:val="86"/>
    <w:family w:val="script"/>
    <w:pitch w:val="default"/>
    <w:sig w:usb0="00000001" w:usb1="080E0000" w:usb2="00000000" w:usb3="00000000" w:csb0="00040000" w:csb1="00000000"/>
    <w:embedRegular r:id="rId9" w:fontKey="{B46A5146-D680-4C11-A337-9C873D1A660D}"/>
  </w:font>
  <w:font w:name="MS Shell Dlg">
    <w:altName w:val="Microsoft Sans Serif"/>
    <w:panose1 w:val="020B0604020202020204"/>
    <w:charset w:val="00"/>
    <w:family w:val="swiss"/>
    <w:pitch w:val="default"/>
    <w:sig w:usb0="00000000" w:usb1="00000000" w:usb2="00000008" w:usb3="00000000" w:csb0="000101FF" w:csb1="00000000"/>
    <w:embedRegular r:id="rId10" w:fontKey="{F82672E3-9BA3-407F-8639-0633276B5700}"/>
  </w:font>
  <w:font w:name="楷体">
    <w:panose1 w:val="02010609060101010101"/>
    <w:charset w:val="86"/>
    <w:family w:val="auto"/>
    <w:pitch w:val="default"/>
    <w:sig w:usb0="800002BF" w:usb1="38CF7CFA" w:usb2="00000016" w:usb3="00000000" w:csb0="00040001" w:csb1="00000000"/>
    <w:embedRegular r:id="rId11" w:fontKey="{186941BD-3744-4B93-A7CA-49CBC2045439}"/>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2FE0C09"/>
    <w:rsid w:val="037759DB"/>
    <w:rsid w:val="04DA26C6"/>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413B50"/>
    <w:rsid w:val="104D689B"/>
    <w:rsid w:val="109D57E0"/>
    <w:rsid w:val="134E0964"/>
    <w:rsid w:val="14B95EDB"/>
    <w:rsid w:val="14C6168E"/>
    <w:rsid w:val="15604521"/>
    <w:rsid w:val="17E52B34"/>
    <w:rsid w:val="18130842"/>
    <w:rsid w:val="18675712"/>
    <w:rsid w:val="19394057"/>
    <w:rsid w:val="19B7492C"/>
    <w:rsid w:val="1B925650"/>
    <w:rsid w:val="1C0025BA"/>
    <w:rsid w:val="1CED540D"/>
    <w:rsid w:val="1CF736B7"/>
    <w:rsid w:val="1D632E00"/>
    <w:rsid w:val="1DD87EDC"/>
    <w:rsid w:val="1E9D4968"/>
    <w:rsid w:val="1F2D0A6E"/>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71E4A07"/>
    <w:rsid w:val="275D539C"/>
    <w:rsid w:val="287535CD"/>
    <w:rsid w:val="28CD4235"/>
    <w:rsid w:val="28D01566"/>
    <w:rsid w:val="28E31299"/>
    <w:rsid w:val="2B3D6767"/>
    <w:rsid w:val="2B57565F"/>
    <w:rsid w:val="2BBD2276"/>
    <w:rsid w:val="2CF2794B"/>
    <w:rsid w:val="2E4A05E4"/>
    <w:rsid w:val="2F1F1F02"/>
    <w:rsid w:val="2F2348BD"/>
    <w:rsid w:val="2F6F1AD9"/>
    <w:rsid w:val="2FD06C0B"/>
    <w:rsid w:val="30A44277"/>
    <w:rsid w:val="30B15F03"/>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B870893"/>
    <w:rsid w:val="3C4F6F1A"/>
    <w:rsid w:val="3DD60FEB"/>
    <w:rsid w:val="3E263CAA"/>
    <w:rsid w:val="3E491747"/>
    <w:rsid w:val="3E6B192F"/>
    <w:rsid w:val="3EA55BAC"/>
    <w:rsid w:val="3EEF12C4"/>
    <w:rsid w:val="3F591E5E"/>
    <w:rsid w:val="40113C23"/>
    <w:rsid w:val="403F2E01"/>
    <w:rsid w:val="404A2E64"/>
    <w:rsid w:val="40AB0EC9"/>
    <w:rsid w:val="40E52488"/>
    <w:rsid w:val="41007A8F"/>
    <w:rsid w:val="415869FC"/>
    <w:rsid w:val="41AB14E8"/>
    <w:rsid w:val="41D67141"/>
    <w:rsid w:val="42030507"/>
    <w:rsid w:val="420A020E"/>
    <w:rsid w:val="429D5EC0"/>
    <w:rsid w:val="444565A3"/>
    <w:rsid w:val="461B60BF"/>
    <w:rsid w:val="46C96141"/>
    <w:rsid w:val="475461C4"/>
    <w:rsid w:val="477A0BC3"/>
    <w:rsid w:val="47F3755A"/>
    <w:rsid w:val="48FA020D"/>
    <w:rsid w:val="492C6FBB"/>
    <w:rsid w:val="499D1F70"/>
    <w:rsid w:val="4A1025A8"/>
    <w:rsid w:val="4AC26B09"/>
    <w:rsid w:val="4AD41B9B"/>
    <w:rsid w:val="4AED1C9D"/>
    <w:rsid w:val="4BE8259F"/>
    <w:rsid w:val="4C4E289A"/>
    <w:rsid w:val="4DD75684"/>
    <w:rsid w:val="4E231003"/>
    <w:rsid w:val="4EF70D4B"/>
    <w:rsid w:val="4F2E0C11"/>
    <w:rsid w:val="4F79418A"/>
    <w:rsid w:val="50B9275C"/>
    <w:rsid w:val="50FE286B"/>
    <w:rsid w:val="514069D9"/>
    <w:rsid w:val="51D77CAA"/>
    <w:rsid w:val="52ED493F"/>
    <w:rsid w:val="531F0FF7"/>
    <w:rsid w:val="546107D9"/>
    <w:rsid w:val="55297C80"/>
    <w:rsid w:val="56644F18"/>
    <w:rsid w:val="56FF2E93"/>
    <w:rsid w:val="58B574EB"/>
    <w:rsid w:val="58FC1D80"/>
    <w:rsid w:val="593509FB"/>
    <w:rsid w:val="59893E96"/>
    <w:rsid w:val="59E56370"/>
    <w:rsid w:val="5B3E21DC"/>
    <w:rsid w:val="5B4A5024"/>
    <w:rsid w:val="5BC414F3"/>
    <w:rsid w:val="5CAE15E3"/>
    <w:rsid w:val="5D290C69"/>
    <w:rsid w:val="5F3F2DAC"/>
    <w:rsid w:val="5FB15C3A"/>
    <w:rsid w:val="6022194E"/>
    <w:rsid w:val="60D65D3F"/>
    <w:rsid w:val="60F4333C"/>
    <w:rsid w:val="611A50B4"/>
    <w:rsid w:val="619C43F3"/>
    <w:rsid w:val="6269072D"/>
    <w:rsid w:val="62A30CCB"/>
    <w:rsid w:val="645A13DB"/>
    <w:rsid w:val="667E25AF"/>
    <w:rsid w:val="66815672"/>
    <w:rsid w:val="6972525B"/>
    <w:rsid w:val="69FC5E8B"/>
    <w:rsid w:val="6B217424"/>
    <w:rsid w:val="6B28360F"/>
    <w:rsid w:val="6B9F4D55"/>
    <w:rsid w:val="6BAA3DD9"/>
    <w:rsid w:val="6DC70D5C"/>
    <w:rsid w:val="6E45126B"/>
    <w:rsid w:val="6F062BB9"/>
    <w:rsid w:val="6F213E8F"/>
    <w:rsid w:val="70E64A50"/>
    <w:rsid w:val="71231A63"/>
    <w:rsid w:val="739465A0"/>
    <w:rsid w:val="73B34AD5"/>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16824</Words>
  <Characters>17539</Characters>
  <Lines>182</Lines>
  <Paragraphs>51</Paragraphs>
  <TotalTime>1</TotalTime>
  <ScaleCrop>false</ScaleCrop>
  <LinksUpToDate>false</LinksUpToDate>
  <CharactersWithSpaces>18825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2024-03-15T03:20:05Z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D90EFDEDCD294DEAB041A069E42458C9</vt:lpwstr>
  </property>
</Properties>
</file>