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2024FW009</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2023、2024年度财务报告、财务收支、内部控制及风险管理专项审计项目</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三月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25875"/>
      <w:bookmarkStart w:id="1" w:name="_Toc11641050"/>
      <w:bookmarkStart w:id="2" w:name="_Toc485108766"/>
      <w:bookmarkStart w:id="3" w:name="_Toc12789052"/>
      <w:r>
        <w:rPr>
          <w:rFonts w:hint="eastAsia" w:ascii="微软雅黑" w:hAnsi="微软雅黑" w:eastAsia="微软雅黑" w:cs="微软雅黑"/>
          <w:b/>
          <w:bCs/>
          <w:color w:val="auto"/>
          <w:sz w:val="36"/>
          <w:szCs w:val="36"/>
        </w:rPr>
        <w:t xml:space="preserve">第一篇 </w:t>
      </w:r>
      <w:bookmarkStart w:id="163" w:name="_GoBack"/>
      <w:r>
        <w:rPr>
          <w:rFonts w:hint="eastAsia" w:ascii="微软雅黑" w:hAnsi="微软雅黑" w:eastAsia="微软雅黑" w:cs="微软雅黑"/>
          <w:b/>
          <w:bCs/>
          <w:color w:val="auto"/>
          <w:sz w:val="36"/>
          <w:szCs w:val="36"/>
        </w:rPr>
        <w:t xml:space="preserve">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2023、2024年度财务报告、财务收支、内部控制及风险管理专项审计项目</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7775175"/>
      <w:bookmarkStart w:id="7" w:name="_Toc485108767"/>
      <w:bookmarkStart w:id="8" w:name="_Toc28443"/>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2023、2024年度财务报告、财务收支、内部控制及风险管理专项审计项目</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两年</w:t>
            </w:r>
          </w:p>
        </w:tc>
      </w:tr>
    </w:tbl>
    <w:p>
      <w:pPr>
        <w:keepNext/>
        <w:keepLines/>
        <w:numPr>
          <w:ilvl w:val="0"/>
          <w:numId w:val="13"/>
        </w:numPr>
        <w:outlineLvl w:val="2"/>
        <w:rPr>
          <w:rFonts w:hint="eastAsia" w:ascii="方正仿宋_GBK" w:hAnsi="宋体" w:eastAsia="方正仿宋_GBK" w:cs="Times New Roman"/>
          <w:b/>
          <w:bCs w:val="0"/>
          <w:color w:val="auto"/>
          <w:sz w:val="24"/>
          <w:szCs w:val="24"/>
        </w:rPr>
      </w:pPr>
      <w:bookmarkStart w:id="10" w:name="_Toc6609"/>
      <w:bookmarkStart w:id="11" w:name="_Toc485108768"/>
      <w:r>
        <w:rPr>
          <w:rStyle w:val="69"/>
          <w:rFonts w:hint="eastAsia" w:ascii="微软雅黑" w:hAnsi="微软雅黑" w:eastAsia="微软雅黑" w:cs="微软雅黑"/>
          <w:b/>
          <w:bCs w:val="0"/>
          <w:color w:val="auto"/>
          <w:sz w:val="24"/>
          <w:szCs w:val="24"/>
          <w:lang w:val="en-US" w:eastAsia="zh-CN"/>
        </w:rPr>
        <w:t>资金来源</w:t>
      </w:r>
      <w:bookmarkEnd w:id="10"/>
      <w:bookmarkEnd w:id="11"/>
      <w:r>
        <w:rPr>
          <w:rFonts w:hint="eastAsia"/>
          <w:b/>
          <w:bCs w:val="0"/>
          <w:color w:val="auto"/>
        </w:rPr>
        <w:t>：</w:t>
      </w:r>
      <w:bookmarkStart w:id="12" w:name="_Toc3816"/>
      <w:bookmarkStart w:id="13" w:name="_Toc31105"/>
      <w:r>
        <w:rPr>
          <w:rFonts w:hint="eastAsia" w:ascii="方正仿宋_GBK" w:hAnsi="宋体" w:eastAsia="方正仿宋_GBK" w:cs="Times New Roman"/>
          <w:b/>
          <w:bCs w:val="0"/>
          <w:color w:val="auto"/>
          <w:sz w:val="24"/>
          <w:szCs w:val="24"/>
        </w:rPr>
        <w:t>医院自筹</w:t>
      </w:r>
      <w:bookmarkEnd w:id="12"/>
      <w:bookmarkEnd w:id="13"/>
    </w:p>
    <w:p>
      <w:pPr>
        <w:pStyle w:val="22"/>
        <w:numPr>
          <w:ilvl w:val="0"/>
          <w:numId w:val="0"/>
        </w:numPr>
        <w:rPr>
          <w:rFonts w:hint="default" w:eastAsia="微软雅黑"/>
          <w:b/>
          <w:bCs/>
          <w:color w:val="auto"/>
          <w:lang w:val="en-US" w:eastAsia="zh-CN"/>
        </w:rPr>
      </w:pPr>
      <w:r>
        <w:rPr>
          <w:rFonts w:hint="eastAsia" w:ascii="微软雅黑" w:hAnsi="微软雅黑" w:eastAsia="微软雅黑" w:cs="微软雅黑"/>
          <w:b/>
          <w:bCs/>
          <w:color w:val="auto"/>
          <w:sz w:val="24"/>
          <w:szCs w:val="24"/>
          <w:lang w:eastAsia="zh-CN"/>
        </w:rPr>
        <w:t>三</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项目预算：预算金额为15万元/年，两年合计30万元。</w:t>
      </w:r>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6、投标人承诺不将所中标业务转包或分包给其他社会中介机构； </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6" w:name="_Toc11958"/>
      <w:bookmarkStart w:id="17" w:name="_Toc6"/>
      <w:bookmarkStart w:id="18" w:name="_Toc102227313"/>
      <w:bookmarkStart w:id="19" w:name="_Toc485108774"/>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1.响应人需为具备有效审计资质的会计师事务所，且须入围重庆市财政局购买专业服务供应商框架协议采购（会计师事务所）（CQS23C00463）框架协议；</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2.具有履行合同所必需的专业技术能力（本项目所派驻的注册会计师及其他人员，必须是响应人的在职工作人员）。</w:t>
      </w:r>
    </w:p>
    <w:p>
      <w:pPr>
        <w:pStyle w:val="3"/>
        <w:spacing w:line="240" w:lineRule="auto"/>
        <w:rPr>
          <w:color w:val="auto"/>
          <w:sz w:val="24"/>
          <w:szCs w:val="24"/>
        </w:rPr>
      </w:pPr>
      <w:r>
        <w:rPr>
          <w:rFonts w:hint="eastAsia" w:ascii="微软雅黑" w:hAnsi="微软雅黑" w:eastAsia="微软雅黑" w:cs="微软雅黑"/>
          <w:color w:val="auto"/>
          <w:sz w:val="24"/>
          <w:szCs w:val="24"/>
          <w:lang w:eastAsia="zh-CN"/>
        </w:rPr>
        <w:t>五</w:t>
      </w:r>
      <w:r>
        <w:rPr>
          <w:rFonts w:hint="eastAsia" w:ascii="微软雅黑" w:hAnsi="微软雅黑" w:eastAsia="微软雅黑" w:cs="微软雅黑"/>
          <w:color w:val="auto"/>
          <w:sz w:val="24"/>
          <w:szCs w:val="24"/>
        </w:rPr>
        <w:t>、比选有关说明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0:00</w:t>
      </w:r>
      <w:r>
        <w:rPr>
          <w:rFonts w:hint="eastAsia" w:ascii="方正仿宋_GBK" w:hAnsi="宋体" w:eastAsia="方正仿宋_GBK"/>
          <w:color w:val="auto"/>
          <w:sz w:val="24"/>
          <w:szCs w:val="24"/>
        </w:rPr>
        <w:t>时至202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24:00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2"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2"/>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9130"/>
      <w:bookmarkStart w:id="29" w:name="_Toc3139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bookmarkEnd w:id="163"/>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2"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spacing w:line="480" w:lineRule="exact"/>
        <w:ind w:firstLine="480"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color w:val="auto"/>
          <w:kern w:val="2"/>
          <w:sz w:val="24"/>
          <w:szCs w:val="24"/>
          <w:lang w:val="en-US" w:eastAsia="zh-CN" w:bidi="ar-SA"/>
        </w:rPr>
        <w:t>报价要求：</w:t>
      </w:r>
      <w:r>
        <w:rPr>
          <w:rFonts w:hint="eastAsia" w:ascii="方正仿宋_GBK" w:hAnsi="宋体" w:eastAsia="方正仿宋_GBK" w:cs="Times New Roman"/>
          <w:color w:val="FF0000"/>
          <w:sz w:val="24"/>
          <w:szCs w:val="24"/>
        </w:rPr>
        <w:t>投标报价单独密封；投标报价为包干价，包括完成本项目所需的服务费、报告和资料费、差旅费、餐费及各种应纳的税费等各项费用。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1.响应文件一式</w:t>
      </w:r>
      <w:r>
        <w:rPr>
          <w:rFonts w:hint="eastAsia" w:ascii="方正仿宋_GBK" w:hAnsi="宋体" w:eastAsia="方正仿宋_GBK" w:cs="Times New Roman"/>
          <w:color w:val="FF0000"/>
          <w:sz w:val="24"/>
          <w:szCs w:val="24"/>
          <w:lang w:eastAsia="zh-CN"/>
        </w:rPr>
        <w:t>五</w:t>
      </w:r>
      <w:r>
        <w:rPr>
          <w:rFonts w:hint="eastAsia" w:ascii="方正仿宋_GBK" w:hAnsi="宋体" w:eastAsia="方正仿宋_GBK" w:cs="Times New Roman"/>
          <w:color w:val="FF0000"/>
          <w:sz w:val="24"/>
          <w:szCs w:val="24"/>
        </w:rPr>
        <w:t>份，其中正本一份，副本</w:t>
      </w:r>
      <w:r>
        <w:rPr>
          <w:rFonts w:hint="eastAsia" w:ascii="方正仿宋_GBK" w:hAnsi="宋体" w:eastAsia="方正仿宋_GBK" w:cs="Times New Roman"/>
          <w:color w:val="FF0000"/>
          <w:sz w:val="24"/>
          <w:szCs w:val="24"/>
          <w:lang w:eastAsia="zh-CN"/>
        </w:rPr>
        <w:t>四</w:t>
      </w:r>
      <w:r>
        <w:rPr>
          <w:rFonts w:hint="eastAsia" w:ascii="方正仿宋_GBK" w:hAnsi="宋体" w:eastAsia="方正仿宋_GBK" w:cs="Times New Roman"/>
          <w:color w:val="FF0000"/>
          <w:sz w:val="24"/>
          <w:szCs w:val="24"/>
        </w:rPr>
        <w:t>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3"/>
      <w:bookmarkStart w:id="36" w:name="OLE_LINK9"/>
      <w:bookmarkStart w:id="37"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02227319"/>
      <w:bookmarkStart w:id="40" w:name="_Toc403569780"/>
      <w:bookmarkStart w:id="41" w:name="_Toc18122"/>
      <w:bookmarkStart w:id="42" w:name="_Toc179714298"/>
      <w:bookmarkStart w:id="43"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403569781"/>
      <w:bookmarkStart w:id="45" w:name="_Toc28776"/>
      <w:bookmarkStart w:id="46" w:name="_Toc14247"/>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403569782"/>
      <w:bookmarkStart w:id="50" w:name="_Toc29340"/>
      <w:bookmarkStart w:id="51" w:name="_Toc14816"/>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2"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2"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102227321"/>
      <w:bookmarkStart w:id="53" w:name="_Toc7135"/>
      <w:bookmarkStart w:id="54" w:name="_Toc3212"/>
      <w:bookmarkStart w:id="55" w:name="_Toc403569783"/>
      <w:bookmarkStart w:id="56" w:name="_Toc342913395"/>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2880"/>
      <w:bookmarkStart w:id="58" w:name="_Toc403569784"/>
      <w:bookmarkStart w:id="59" w:name="_Toc17413"/>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5" w:name="_Toc11770"/>
      <w:bookmarkStart w:id="66"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pStyle w:val="3"/>
        <w:spacing w:line="240" w:lineRule="auto"/>
        <w:rPr>
          <w:rFonts w:hint="eastAsia" w:ascii="微软雅黑" w:hAnsi="微软雅黑" w:eastAsia="微软雅黑" w:cs="微软雅黑"/>
          <w:color w:val="auto"/>
          <w:sz w:val="24"/>
          <w:szCs w:val="24"/>
        </w:rPr>
      </w:pPr>
      <w:bookmarkStart w:id="67" w:name="_Toc12789058"/>
      <w:r>
        <w:rPr>
          <w:rFonts w:hint="eastAsia" w:ascii="微软雅黑" w:hAnsi="微软雅黑" w:eastAsia="微软雅黑" w:cs="微软雅黑"/>
          <w:color w:val="auto"/>
          <w:sz w:val="24"/>
          <w:szCs w:val="24"/>
        </w:rPr>
        <w:t>一、项目内容</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1、医院2023、2024年度财务报表审计。</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2、医院2023、2024年度财务收支专项审计。</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3、医院2023、2024年内部控制及风险管理情况专项审计及评价。</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4.、汇总出具管理建议书。</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二、服务需求</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（一）医院财务报表审计</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按照政府会计准则、《政府会计制度》及国家其他有关法律法规对医院编制的年度财务报表进行审计，对财务报表的下列方面发表意见：①财务报表是否在所有重大方面按照事业单位会计准则、《政府会计制度》及国家其他有关法律法规编制；②财务报表是否在所有重大方面公允反映医院的财务状况和业务开展经营成果和现金流量。</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（二）医院财务收支专项审计</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1、主要内容包括预算执行情况；预决算编制和资金安排；“三重一大”集体决策执行和落实情况；内部控制制度的建设和执行情况；财务管理及财政收支、财务收支预算执行情况和决策的 真实性情况；财务收支核算的合规性；预算外资金的收支及管理情况；专项资金使用管理情况；债权债务管控情况；国有资产使用管理情况；大额资金往来情况；基本建设工程项目管理情况；政府采购和非政府采购管理情况；一般支出管控；审计整改情况；其他应审计事项。 </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2、重点关注内容：财务收入方面、财务支出方面、财务其他方面，具体如下：</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（1）财务收入方面：①未经财政部门会同物价管理部门批准进行收费。②应缴未缴财政专户和没有及时足额上缴财政及坐支应 缴未缴收入。③账外资金形成“小金库”。④不按规定使用财政部门统一印制或监制的收费票据。</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财务支出方面：①发放各种补贴、奖金未经财政等部门批准。②应交未交各种税金及附加。③挤占、挪用专项资金。④虚假发票报账。⑤乱列支出。⑥虚列支出。⑦购置固定资产未记入单位的固定资产账。⑧超越单位权限处置资产。</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（3）财务其他方面：①往来款账中长期挂账。②其他需要注意的问题。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（三）医院内部控制及风险管理情况专项审计</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根据《财政部关于全面推行行政事业单位内部控制建设的指导意见》（财会〔2015〕24号）和《关于印发公立医院内部控制管理办法的通知》（国卫财务发〔2020〕31号），对医院内部控制及风险管理情况进行审计，出具专项审计报告，并参照《国家卫生健康委办公厅关于印发卫生健康行业内部审计基本指引（试行）等7个工作指引的通知》（国卫办财务函〔2023〕416号）中的《内部控制评价工作指引（试行）》，对医院内部控制设计有效性和内部控制运行有效性进行评价，编制内部控制评价报告（内容包括但不限于：真实性声明、总体情况、评价依据、评价范围、评价程序和方法、评价结论等）。</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（四）报告时间</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服务方需每年6月30日前出具审计报告，并同时提交按照审计档案管理相关规定汇总整理的审计项目的档案资料（包括但不限于审计方案、审计工作底稿、审计取证记录及审计证据材料、审计报告征求意见单、审计报告（含征求意见稿）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 xml:space="preserve">、投标书内容要求 </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1</w:t>
      </w:r>
      <w:r>
        <w:rPr>
          <w:rFonts w:hint="eastAsia" w:ascii="方正仿宋_GBK" w:hAnsi="宋体" w:eastAsia="方正仿宋_GBK" w:cs="Times New Roman"/>
          <w:color w:val="FF0000"/>
          <w:sz w:val="24"/>
          <w:szCs w:val="24"/>
        </w:rPr>
        <w:t xml:space="preserve">、投标人基本情况（含有效的三证合一营业执照正副本复印件、法定代表人委托授权书、法定代表人和被委托人身份证复印件等）； </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2、项目工作方案； </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3、项目组成员及分工、项目保障措施以及复核等质量保证手段； </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4、项目完成时间； </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5、近三年的工作业绩； </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6、投标报价单独密封；投标报价为包干价，包括完成本项目所需的服务费、报告和资料费、差旅费、餐费及各种应纳的税费等各项费用。因成交供应商自身原因造成漏报、少报皆由其自行承担责任，采购人不再补偿。</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7、详细联系方式（包括单位地址、传真号码和联系人手机号码）。</w:t>
      </w:r>
    </w:p>
    <w:p>
      <w:pPr>
        <w:pStyle w:val="268"/>
        <w:numPr>
          <w:ilvl w:val="0"/>
          <w:numId w:val="0"/>
        </w:numPr>
        <w:spacing w:line="560" w:lineRule="exact"/>
        <w:rPr>
          <w:rFonts w:hint="default" w:ascii="方正仿宋_GBK" w:hAnsi="宋体" w:eastAsia="方正仿宋_GBK" w:cs="Times New Roman"/>
          <w:color w:val="FF0000"/>
          <w:kern w:val="2"/>
          <w:sz w:val="24"/>
          <w:szCs w:val="24"/>
          <w:lang w:val="en-US" w:eastAsia="zh-CN" w:bidi="ar-SA"/>
        </w:rPr>
      </w:pPr>
    </w:p>
    <w:p>
      <w:pPr>
        <w:rPr>
          <w:rFonts w:hint="eastAsia"/>
          <w:color w:val="auto"/>
        </w:rPr>
      </w:pPr>
      <w:bookmarkStart w:id="68" w:name="_Toc485108787"/>
      <w:bookmarkStart w:id="69" w:name="_Toc28327"/>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7"/>
      <w:bookmarkEnd w:id="68"/>
      <w:bookmarkEnd w:id="69"/>
      <w:bookmarkStart w:id="70" w:name="_Toc12789059"/>
      <w:bookmarkStart w:id="71" w:name="_Toc11641055"/>
    </w:p>
    <w:p>
      <w:pPr>
        <w:pStyle w:val="3"/>
        <w:spacing w:line="240" w:lineRule="auto"/>
        <w:rPr>
          <w:rFonts w:hint="eastAsia" w:ascii="微软雅黑" w:hAnsi="微软雅黑" w:eastAsia="微软雅黑" w:cs="微软雅黑"/>
          <w:color w:val="auto"/>
          <w:sz w:val="24"/>
          <w:szCs w:val="24"/>
          <w:lang w:val="en-US" w:eastAsia="zh-CN"/>
        </w:rPr>
      </w:pPr>
      <w:bookmarkStart w:id="72" w:name="_Toc11645"/>
      <w:bookmarkStart w:id="73" w:name="_Toc485108793"/>
      <w:bookmarkStart w:id="74" w:name="_Toc7358"/>
      <w:bookmarkStart w:id="75" w:name="_Toc403569795"/>
      <w:r>
        <w:rPr>
          <w:rFonts w:hint="eastAsia" w:ascii="微软雅黑" w:hAnsi="微软雅黑" w:eastAsia="微软雅黑" w:cs="微软雅黑"/>
          <w:color w:val="auto"/>
          <w:sz w:val="24"/>
          <w:szCs w:val="24"/>
          <w:lang w:val="en-US" w:eastAsia="zh-CN"/>
        </w:rPr>
        <w:t>一、商务需求</w:t>
      </w:r>
    </w:p>
    <w:p>
      <w:pPr>
        <w:spacing w:line="5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1、付款方式：本次项目无预付款，服务方每年按时完成相应工作项目，采购方自收到正式审计报告和发票后60日内支付服务费。</w:t>
      </w:r>
    </w:p>
    <w:p>
      <w:pPr>
        <w:spacing w:line="480" w:lineRule="exact"/>
        <w:ind w:firstLine="560" w:firstLineChars="200"/>
        <w:rPr>
          <w:sz w:val="28"/>
          <w:szCs w:val="28"/>
        </w:rPr>
      </w:pP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3"/>
      <w:bookmarkEnd w:id="74"/>
      <w:bookmarkEnd w:id="75"/>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0"/>
      <w:bookmarkEnd w:id="71"/>
      <w:bookmarkStart w:id="76" w:name="_Toc403569796"/>
      <w:bookmarkStart w:id="77" w:name="_Toc485108794"/>
      <w:bookmarkStart w:id="78" w:name="_Toc14840"/>
      <w:bookmarkStart w:id="79" w:name="_Toc148265480"/>
      <w:bookmarkStart w:id="80" w:name="_Toc303945820"/>
      <w:r>
        <w:rPr>
          <w:rFonts w:hint="eastAsia" w:ascii="微软雅黑" w:hAnsi="微软雅黑" w:eastAsia="微软雅黑" w:cs="微软雅黑"/>
          <w:b/>
          <w:color w:val="auto"/>
          <w:sz w:val="36"/>
          <w:szCs w:val="36"/>
        </w:rPr>
        <w:t>第五篇  合同草案条款</w:t>
      </w:r>
      <w:bookmarkEnd w:id="76"/>
      <w:bookmarkEnd w:id="77"/>
      <w:bookmarkEnd w:id="78"/>
    </w:p>
    <w:p>
      <w:pPr>
        <w:pStyle w:val="3"/>
        <w:spacing w:line="240" w:lineRule="auto"/>
        <w:rPr>
          <w:rFonts w:hint="eastAsia" w:ascii="微软雅黑" w:hAnsi="微软雅黑" w:eastAsia="微软雅黑" w:cs="微软雅黑"/>
          <w:color w:val="auto"/>
          <w:sz w:val="24"/>
          <w:szCs w:val="24"/>
        </w:rPr>
      </w:pPr>
      <w:bookmarkStart w:id="81" w:name="_Toc54718202"/>
      <w:bookmarkStart w:id="82" w:name="_Toc30815"/>
      <w:r>
        <w:rPr>
          <w:rFonts w:hint="eastAsia" w:ascii="微软雅黑" w:hAnsi="微软雅黑" w:eastAsia="微软雅黑" w:cs="微软雅黑"/>
          <w:color w:val="auto"/>
          <w:sz w:val="24"/>
          <w:szCs w:val="24"/>
        </w:rPr>
        <w:t>一、定义</w:t>
      </w:r>
      <w:bookmarkEnd w:id="81"/>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988"/>
      <w:r>
        <w:rPr>
          <w:rFonts w:hint="eastAsia" w:ascii="方正仿宋_GBK" w:hAnsi="宋体" w:eastAsia="方正仿宋_GBK" w:cs="Times New Roman"/>
          <w:color w:val="auto"/>
          <w:sz w:val="24"/>
          <w:szCs w:val="24"/>
        </w:rPr>
        <w:t>（一）甲方（需方）即重庆医科大学附属永川医院。</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5"/>
    </w:p>
    <w:p>
      <w:pPr>
        <w:snapToGrid w:val="0"/>
        <w:spacing w:line="400" w:lineRule="exact"/>
        <w:ind w:firstLine="480" w:firstLineChars="200"/>
        <w:jc w:val="left"/>
        <w:rPr>
          <w:rFonts w:ascii="方正仿宋_GBK" w:hAnsi="宋体" w:eastAsia="方正仿宋_GBK" w:cs="Times New Roman"/>
          <w:color w:val="auto"/>
          <w:sz w:val="24"/>
          <w:szCs w:val="24"/>
        </w:rPr>
      </w:pPr>
      <w:bookmarkStart w:id="86"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6"/>
    </w:p>
    <w:p>
      <w:pPr>
        <w:snapToGrid w:val="0"/>
        <w:spacing w:line="400" w:lineRule="exact"/>
        <w:ind w:firstLine="480" w:firstLineChars="200"/>
        <w:jc w:val="left"/>
        <w:rPr>
          <w:rFonts w:ascii="方正仿宋_GBK" w:hAnsi="宋体" w:eastAsia="方正仿宋_GBK" w:cs="Times New Roman"/>
          <w:color w:val="auto"/>
          <w:sz w:val="24"/>
          <w:szCs w:val="24"/>
        </w:rPr>
      </w:pPr>
      <w:bookmarkStart w:id="87"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7"/>
    </w:p>
    <w:p>
      <w:pPr>
        <w:pStyle w:val="3"/>
        <w:spacing w:line="240" w:lineRule="auto"/>
        <w:rPr>
          <w:rFonts w:hint="eastAsia" w:ascii="微软雅黑" w:hAnsi="微软雅黑" w:eastAsia="微软雅黑" w:cs="微软雅黑"/>
          <w:color w:val="auto"/>
          <w:sz w:val="24"/>
          <w:szCs w:val="24"/>
        </w:rPr>
      </w:pPr>
      <w:bookmarkStart w:id="88" w:name="_Toc17879"/>
      <w:bookmarkStart w:id="89"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8"/>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8967"/>
      <w:r>
        <w:rPr>
          <w:rFonts w:hint="eastAsia" w:ascii="方正仿宋_GBK" w:hAnsi="宋体" w:eastAsia="方正仿宋_GBK" w:cs="Times New Roman"/>
          <w:color w:val="auto"/>
          <w:sz w:val="24"/>
          <w:szCs w:val="24"/>
        </w:rPr>
        <w:t>合同包括以下内容：</w:t>
      </w:r>
      <w:bookmarkEnd w:id="90"/>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1" w:name="_Toc54718204"/>
      <w:bookmarkStart w:id="92" w:name="_Toc8853"/>
      <w:r>
        <w:rPr>
          <w:rFonts w:hint="eastAsia" w:ascii="微软雅黑" w:hAnsi="微软雅黑" w:eastAsia="微软雅黑" w:cs="微软雅黑"/>
          <w:color w:val="auto"/>
          <w:sz w:val="24"/>
          <w:szCs w:val="24"/>
        </w:rPr>
        <w:t>三、合同价格</w:t>
      </w:r>
      <w:bookmarkEnd w:id="91"/>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25177"/>
      <w:bookmarkStart w:id="94"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5"/>
    </w:p>
    <w:p>
      <w:pPr>
        <w:pStyle w:val="3"/>
        <w:spacing w:line="240" w:lineRule="auto"/>
        <w:rPr>
          <w:rFonts w:hint="eastAsia" w:ascii="微软雅黑" w:hAnsi="微软雅黑" w:eastAsia="微软雅黑" w:cs="微软雅黑"/>
          <w:color w:val="auto"/>
          <w:sz w:val="24"/>
          <w:szCs w:val="24"/>
        </w:rPr>
      </w:pPr>
      <w:bookmarkStart w:id="96" w:name="_Toc24410"/>
      <w:r>
        <w:rPr>
          <w:rFonts w:hint="eastAsia" w:ascii="微软雅黑" w:hAnsi="微软雅黑" w:eastAsia="微软雅黑" w:cs="微软雅黑"/>
          <w:color w:val="auto"/>
          <w:sz w:val="24"/>
          <w:szCs w:val="24"/>
        </w:rPr>
        <w:t>四、转包或分包</w:t>
      </w:r>
      <w:bookmarkEnd w:id="94"/>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9"/>
    </w:p>
    <w:p>
      <w:pPr>
        <w:pStyle w:val="3"/>
        <w:spacing w:line="240" w:lineRule="auto"/>
        <w:rPr>
          <w:rFonts w:hint="eastAsia" w:ascii="微软雅黑" w:hAnsi="微软雅黑" w:eastAsia="微软雅黑" w:cs="微软雅黑"/>
          <w:color w:val="auto"/>
          <w:sz w:val="24"/>
          <w:szCs w:val="24"/>
        </w:rPr>
      </w:pPr>
      <w:bookmarkStart w:id="100" w:name="_Toc54718206"/>
      <w:bookmarkStart w:id="101" w:name="_Toc2241"/>
      <w:r>
        <w:rPr>
          <w:rFonts w:hint="eastAsia" w:ascii="微软雅黑" w:hAnsi="微软雅黑" w:eastAsia="微软雅黑" w:cs="微软雅黑"/>
          <w:color w:val="auto"/>
          <w:sz w:val="24"/>
          <w:szCs w:val="24"/>
        </w:rPr>
        <w:t>五、质量保证及售后服务</w:t>
      </w:r>
      <w:bookmarkEnd w:id="100"/>
      <w:bookmarkEnd w:id="10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2" w:name="_Toc12985"/>
      <w:bookmarkStart w:id="103"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3"/>
    </w:p>
    <w:p>
      <w:pPr>
        <w:pStyle w:val="3"/>
        <w:spacing w:line="240" w:lineRule="auto"/>
        <w:rPr>
          <w:rFonts w:hint="eastAsia" w:ascii="微软雅黑" w:hAnsi="微软雅黑" w:eastAsia="微软雅黑" w:cs="微软雅黑"/>
          <w:color w:val="auto"/>
          <w:sz w:val="24"/>
          <w:szCs w:val="24"/>
        </w:rPr>
      </w:pPr>
      <w:bookmarkStart w:id="104" w:name="_Toc54718207"/>
      <w:bookmarkStart w:id="105" w:name="_Toc9053"/>
      <w:r>
        <w:rPr>
          <w:rFonts w:hint="eastAsia" w:ascii="微软雅黑" w:hAnsi="微软雅黑" w:eastAsia="微软雅黑" w:cs="微软雅黑"/>
          <w:color w:val="auto"/>
          <w:sz w:val="24"/>
          <w:szCs w:val="24"/>
        </w:rPr>
        <w:t>六、付款</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3183"/>
      <w:r>
        <w:rPr>
          <w:rFonts w:hint="eastAsia" w:ascii="方正仿宋_GBK" w:hAnsi="宋体" w:eastAsia="方正仿宋_GBK" w:cs="Times New Roman"/>
          <w:color w:val="auto"/>
          <w:sz w:val="24"/>
          <w:szCs w:val="24"/>
        </w:rPr>
        <w:t>（一）本合同使用货币币制如未作特别说明均为人民币。</w:t>
      </w:r>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8880"/>
      <w:r>
        <w:rPr>
          <w:rFonts w:hint="eastAsia" w:ascii="方正仿宋_GBK" w:hAnsi="宋体" w:eastAsia="方正仿宋_GBK" w:cs="Times New Roman"/>
          <w:color w:val="auto"/>
          <w:sz w:val="24"/>
          <w:szCs w:val="24"/>
        </w:rPr>
        <w:t>（二）付款方式：银行转账。</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8"/>
    </w:p>
    <w:p>
      <w:pPr>
        <w:pStyle w:val="3"/>
        <w:spacing w:line="240" w:lineRule="auto"/>
        <w:rPr>
          <w:rFonts w:hint="eastAsia" w:ascii="微软雅黑" w:hAnsi="微软雅黑" w:eastAsia="微软雅黑" w:cs="微软雅黑"/>
          <w:color w:val="auto"/>
          <w:sz w:val="24"/>
          <w:szCs w:val="24"/>
        </w:rPr>
      </w:pPr>
      <w:bookmarkStart w:id="109" w:name="_Toc11586"/>
      <w:bookmarkStart w:id="110"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9"/>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5382"/>
      <w:r>
        <w:rPr>
          <w:rFonts w:hint="eastAsia" w:ascii="方正仿宋_GBK" w:hAnsi="宋体" w:eastAsia="方正仿宋_GBK" w:cs="Times New Roman"/>
          <w:color w:val="auto"/>
          <w:sz w:val="24"/>
          <w:szCs w:val="24"/>
        </w:rPr>
        <w:t>（一）当事人友好协商达成一致</w:t>
      </w:r>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9926"/>
      <w:r>
        <w:rPr>
          <w:rFonts w:hint="eastAsia" w:ascii="方正仿宋_GBK" w:hAnsi="宋体" w:eastAsia="方正仿宋_GBK" w:cs="Times New Roman"/>
          <w:color w:val="auto"/>
          <w:sz w:val="24"/>
          <w:szCs w:val="24"/>
        </w:rPr>
        <w:t>（二）</w:t>
      </w:r>
      <w:bookmarkEnd w:id="112"/>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3" w:name="_Toc31719"/>
      <w:bookmarkStart w:id="114" w:name="_Toc54718210"/>
      <w:bookmarkStart w:id="115" w:name="_Toc54718212"/>
      <w:bookmarkStart w:id="116"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3"/>
      <w:bookmarkEnd w:id="114"/>
    </w:p>
    <w:p>
      <w:pPr>
        <w:snapToGrid w:val="0"/>
        <w:spacing w:line="400" w:lineRule="exact"/>
        <w:ind w:firstLine="480" w:firstLineChars="200"/>
        <w:rPr>
          <w:rFonts w:hint="eastAsia" w:ascii="方正仿宋_GBK" w:hAnsi="宋体" w:eastAsia="方正仿宋_GBK"/>
          <w:color w:val="auto"/>
          <w:sz w:val="24"/>
          <w:szCs w:val="24"/>
        </w:rPr>
      </w:pPr>
      <w:bookmarkStart w:id="117"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8" w:name="_Toc17287"/>
      <w:r>
        <w:rPr>
          <w:rFonts w:hint="eastAsia" w:ascii="方正仿宋_GBK" w:hAnsi="宋体" w:eastAsia="方正仿宋_GBK"/>
          <w:color w:val="auto"/>
          <w:sz w:val="24"/>
          <w:szCs w:val="24"/>
        </w:rPr>
        <w:t>（二）若涉及软件开发等服务类项目知识产权的，知识产权归医院所有。</w:t>
      </w:r>
      <w:bookmarkEnd w:id="118"/>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9"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0"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7071"/>
      <w:r>
        <w:rPr>
          <w:rFonts w:hint="eastAsia" w:ascii="方正仿宋_GBK" w:hAnsi="宋体" w:eastAsia="方正仿宋_GBK" w:cs="Times New Roman"/>
          <w:color w:val="auto"/>
          <w:sz w:val="24"/>
          <w:szCs w:val="24"/>
        </w:rPr>
        <w:t>（一）合同生效及其效力应符合《中华人民共和国民法典》有关规定。</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233"/>
      <w:r>
        <w:rPr>
          <w:rFonts w:hint="eastAsia" w:ascii="方正仿宋_GBK" w:hAnsi="宋体" w:eastAsia="方正仿宋_GBK" w:cs="Times New Roman"/>
          <w:color w:val="auto"/>
          <w:sz w:val="24"/>
          <w:szCs w:val="24"/>
        </w:rPr>
        <w:t>（四）合同需提供担保的，按《中华人民共和国担保法》规定执行。</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5"/>
    </w:p>
    <w:bookmarkEnd w:id="79"/>
    <w:bookmarkEnd w:id="80"/>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6" w:name="_Hlt41879464"/>
      <w:bookmarkEnd w:id="126"/>
      <w:bookmarkStart w:id="127" w:name="_Toc13696"/>
      <w:bookmarkStart w:id="128" w:name="_Toc485108795"/>
      <w:bookmarkStart w:id="129" w:name="_Toc12789072"/>
      <w:r>
        <w:rPr>
          <w:rFonts w:hint="eastAsia" w:ascii="微软雅黑" w:hAnsi="微软雅黑" w:eastAsia="微软雅黑" w:cs="微软雅黑"/>
          <w:b/>
          <w:color w:val="auto"/>
          <w:sz w:val="36"/>
          <w:szCs w:val="36"/>
        </w:rPr>
        <w:t>第六篇  响应文件格式要求</w:t>
      </w:r>
      <w:bookmarkEnd w:id="127"/>
      <w:bookmarkEnd w:id="128"/>
      <w:bookmarkEnd w:id="129"/>
    </w:p>
    <w:p>
      <w:pPr>
        <w:pStyle w:val="3"/>
        <w:spacing w:line="240" w:lineRule="auto"/>
        <w:rPr>
          <w:rFonts w:hint="eastAsia" w:ascii="微软雅黑" w:hAnsi="微软雅黑" w:eastAsia="微软雅黑" w:cs="微软雅黑"/>
          <w:color w:val="auto"/>
          <w:sz w:val="24"/>
          <w:szCs w:val="24"/>
        </w:rPr>
      </w:pPr>
      <w:bookmarkStart w:id="130" w:name="_Toc27382"/>
      <w:r>
        <w:rPr>
          <w:rFonts w:hint="eastAsia" w:ascii="微软雅黑" w:hAnsi="微软雅黑" w:eastAsia="微软雅黑" w:cs="微软雅黑"/>
          <w:color w:val="auto"/>
          <w:sz w:val="24"/>
          <w:szCs w:val="24"/>
        </w:rPr>
        <w:t>一、经济部分</w:t>
      </w:r>
      <w:bookmarkEnd w:id="13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1" w:name="_Toc6305"/>
      <w:r>
        <w:rPr>
          <w:rFonts w:hint="eastAsia" w:ascii="微软雅黑" w:hAnsi="微软雅黑" w:eastAsia="微软雅黑" w:cs="微软雅黑"/>
          <w:color w:val="auto"/>
          <w:sz w:val="24"/>
          <w:szCs w:val="24"/>
        </w:rPr>
        <w:t>二、服务部分</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2" w:name="_Toc7207"/>
      <w:r>
        <w:rPr>
          <w:rFonts w:hint="eastAsia" w:ascii="微软雅黑" w:hAnsi="微软雅黑" w:eastAsia="微软雅黑" w:cs="微软雅黑"/>
          <w:color w:val="auto"/>
          <w:sz w:val="24"/>
          <w:szCs w:val="24"/>
        </w:rPr>
        <w:t>三、商务部分</w:t>
      </w:r>
      <w:bookmarkEnd w:id="132"/>
    </w:p>
    <w:p>
      <w:pPr>
        <w:snapToGrid w:val="0"/>
        <w:spacing w:line="360" w:lineRule="auto"/>
        <w:ind w:firstLine="480" w:firstLineChars="200"/>
        <w:rPr>
          <w:rFonts w:hint="eastAsia" w:ascii="微软雅黑" w:hAnsi="微软雅黑" w:eastAsia="微软雅黑" w:cs="微软雅黑"/>
          <w:color w:val="auto"/>
          <w:sz w:val="24"/>
          <w:szCs w:val="24"/>
        </w:rPr>
      </w:pPr>
      <w:bookmarkStart w:id="133" w:name="_Toc38358147"/>
      <w:bookmarkStart w:id="134" w:name="OLE_LINK11"/>
      <w:bookmarkStart w:id="135" w:name="OLE_LINK10"/>
      <w:r>
        <w:rPr>
          <w:rFonts w:hint="eastAsia" w:ascii="微软雅黑" w:hAnsi="微软雅黑" w:eastAsia="微软雅黑" w:cs="微软雅黑"/>
          <w:color w:val="auto"/>
          <w:sz w:val="24"/>
          <w:szCs w:val="24"/>
        </w:rPr>
        <w:t>（一）按照“第四篇  项目商务需求”提供相应资料</w:t>
      </w:r>
      <w:bookmarkEnd w:id="13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6" w:name="_Toc18417"/>
      <w:r>
        <w:rPr>
          <w:rFonts w:hint="eastAsia" w:ascii="微软雅黑" w:hAnsi="微软雅黑" w:eastAsia="微软雅黑" w:cs="微软雅黑"/>
          <w:color w:val="auto"/>
          <w:sz w:val="24"/>
          <w:szCs w:val="24"/>
        </w:rPr>
        <w:t>四、资格条件及其他</w:t>
      </w:r>
      <w:bookmarkEnd w:id="13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7" w:name="_Toc19884"/>
      <w:r>
        <w:rPr>
          <w:rFonts w:hint="eastAsia" w:ascii="微软雅黑" w:hAnsi="微软雅黑" w:eastAsia="微软雅黑" w:cs="微软雅黑"/>
          <w:color w:val="auto"/>
          <w:sz w:val="24"/>
          <w:szCs w:val="24"/>
        </w:rPr>
        <w:t>五、其他应提供的资料</w:t>
      </w:r>
      <w:bookmarkEnd w:id="13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4"/>
    <w:bookmarkEnd w:id="135"/>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38" w:name="_Toc313888360"/>
      <w:bookmarkStart w:id="139" w:name="_Toc313008356"/>
      <w:bookmarkStart w:id="140" w:name="_Toc342913419"/>
      <w:bookmarkStart w:id="141" w:name="_Toc485108796"/>
      <w:bookmarkStart w:id="142" w:name="_Toc480979018"/>
      <w:bookmarkStart w:id="143" w:name="_Toc283382454"/>
      <w:bookmarkStart w:id="144" w:name="_Toc12789073"/>
      <w:r>
        <w:rPr>
          <w:rFonts w:hint="eastAsia"/>
          <w:b/>
          <w:color w:val="auto"/>
        </w:rPr>
        <w:t>经济部分</w:t>
      </w:r>
      <w:bookmarkEnd w:id="138"/>
      <w:bookmarkEnd w:id="139"/>
      <w:bookmarkEnd w:id="140"/>
      <w:bookmarkEnd w:id="141"/>
      <w:bookmarkEnd w:id="142"/>
    </w:p>
    <w:p>
      <w:pPr>
        <w:pStyle w:val="180"/>
        <w:ind w:left="450" w:firstLine="0" w:firstLineChars="0"/>
        <w:rPr>
          <w:b/>
          <w:color w:val="auto"/>
        </w:rPr>
      </w:pPr>
    </w:p>
    <w:bookmarkEnd w:id="143"/>
    <w:bookmarkEnd w:id="144"/>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val="en-US" w:eastAsia="zh-CN"/>
        </w:rPr>
        <w:t>2023、2024年度财务报告、财务收支、内部控制及风险管理专项审计项目</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6"/>
        <w:gridCol w:w="2406"/>
        <w:gridCol w:w="2407"/>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406" w:type="dxa"/>
            <w:vAlign w:val="center"/>
          </w:tcPr>
          <w:p>
            <w:pPr>
              <w:pStyle w:val="269"/>
              <w:jc w:val="center"/>
              <w:rPr>
                <w:rFonts w:hint="default" w:ascii="方正仿宋_GBK" w:hAnsi="宋体" w:eastAsia="方正仿宋_GBK" w:cs="Times New Roman"/>
                <w:color w:val="auto"/>
                <w:sz w:val="24"/>
                <w:szCs w:val="24"/>
                <w:lang w:val="en-US" w:eastAsia="zh-CN"/>
              </w:rPr>
            </w:pPr>
            <w:bookmarkStart w:id="145" w:name="_Toc480979019"/>
            <w:bookmarkStart w:id="146" w:name="_Toc485108797"/>
            <w:bookmarkStart w:id="147" w:name="_Toc313888361"/>
            <w:bookmarkStart w:id="148" w:name="_Toc313008357"/>
            <w:bookmarkStart w:id="149" w:name="_Toc342913420"/>
            <w:r>
              <w:rPr>
                <w:rFonts w:hint="eastAsia" w:ascii="方正仿宋_GBK" w:hAnsi="宋体" w:eastAsia="方正仿宋_GBK" w:cs="Times New Roman"/>
                <w:color w:val="auto"/>
                <w:sz w:val="24"/>
                <w:szCs w:val="24"/>
                <w:lang w:val="en-US" w:eastAsia="zh-CN"/>
              </w:rPr>
              <w:t>项目名称</w:t>
            </w:r>
          </w:p>
        </w:tc>
        <w:tc>
          <w:tcPr>
            <w:tcW w:w="2406" w:type="dxa"/>
            <w:vAlign w:val="center"/>
          </w:tcPr>
          <w:p>
            <w:pPr>
              <w:pStyle w:val="269"/>
              <w:jc w:val="center"/>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报价（元/年）</w:t>
            </w:r>
          </w:p>
        </w:tc>
        <w:tc>
          <w:tcPr>
            <w:tcW w:w="2407" w:type="dxa"/>
            <w:vAlign w:val="center"/>
          </w:tcPr>
          <w:p>
            <w:pPr>
              <w:pStyle w:val="269"/>
              <w:jc w:val="center"/>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总价</w:t>
            </w:r>
          </w:p>
        </w:tc>
        <w:tc>
          <w:tcPr>
            <w:tcW w:w="2407" w:type="dxa"/>
            <w:vAlign w:val="center"/>
          </w:tcPr>
          <w:p>
            <w:pPr>
              <w:pStyle w:val="269"/>
              <w:jc w:val="center"/>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6" w:type="dxa"/>
            <w:vAlign w:val="center"/>
          </w:tcPr>
          <w:p>
            <w:pPr>
              <w:pStyle w:val="269"/>
              <w:jc w:val="center"/>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2023、2024年度财务报告、财务收支、内部控制及风险管理专项审计项目</w:t>
            </w:r>
          </w:p>
        </w:tc>
        <w:tc>
          <w:tcPr>
            <w:tcW w:w="2406" w:type="dxa"/>
            <w:vAlign w:val="center"/>
          </w:tcPr>
          <w:p>
            <w:pPr>
              <w:pStyle w:val="269"/>
              <w:jc w:val="center"/>
              <w:rPr>
                <w:rFonts w:hint="default" w:ascii="方正仿宋_GBK" w:hAnsi="宋体" w:eastAsia="方正仿宋_GBK" w:cs="Times New Roman"/>
                <w:color w:val="auto"/>
                <w:sz w:val="24"/>
                <w:szCs w:val="24"/>
                <w:lang w:val="en-US" w:eastAsia="zh-CN"/>
              </w:rPr>
            </w:pPr>
          </w:p>
        </w:tc>
        <w:tc>
          <w:tcPr>
            <w:tcW w:w="2407" w:type="dxa"/>
            <w:vAlign w:val="center"/>
          </w:tcPr>
          <w:p>
            <w:pPr>
              <w:pStyle w:val="269"/>
              <w:jc w:val="center"/>
              <w:rPr>
                <w:rFonts w:hint="default" w:ascii="方正仿宋_GBK" w:hAnsi="宋体" w:eastAsia="方正仿宋_GBK" w:cs="Times New Roman"/>
                <w:color w:val="auto"/>
                <w:sz w:val="24"/>
                <w:szCs w:val="24"/>
                <w:lang w:val="en-US" w:eastAsia="zh-CN"/>
              </w:rPr>
            </w:pPr>
          </w:p>
        </w:tc>
        <w:tc>
          <w:tcPr>
            <w:tcW w:w="2407" w:type="dxa"/>
            <w:vAlign w:val="center"/>
          </w:tcPr>
          <w:p>
            <w:pPr>
              <w:pStyle w:val="269"/>
              <w:jc w:val="center"/>
              <w:rPr>
                <w:rFonts w:hint="default" w:ascii="方正仿宋_GBK" w:hAnsi="宋体" w:eastAsia="方正仿宋_GBK" w:cs="Times New Roman"/>
                <w:color w:val="auto"/>
                <w:sz w:val="24"/>
                <w:szCs w:val="24"/>
                <w:lang w:val="en-US" w:eastAsia="zh-CN"/>
              </w:rPr>
            </w:pPr>
          </w:p>
        </w:tc>
      </w:tr>
    </w:tbl>
    <w:p>
      <w:pPr>
        <w:pStyle w:val="269"/>
        <w:jc w:val="both"/>
        <w:rPr>
          <w:rFonts w:hint="default"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注：</w:t>
      </w:r>
      <w:r>
        <w:rPr>
          <w:rFonts w:hint="eastAsia" w:ascii="方正仿宋_GBK" w:hAnsi="宋体" w:eastAsia="方正仿宋_GBK" w:cs="Times New Roman"/>
          <w:color w:val="FF0000"/>
          <w:sz w:val="24"/>
          <w:szCs w:val="24"/>
        </w:rPr>
        <w:t>投标报价单独密封；投标报价为包干价，包括完成本项目所需的服务费、报告和资料费、差旅费、餐费及各种应纳的税费等各项费用。因成交供应商自身原因造成漏报、少报皆由其自行承担责任，采购人不再补偿。</w:t>
      </w: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pStyle w:val="22"/>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b/>
          <w:color w:val="auto"/>
        </w:rPr>
      </w:pPr>
      <w:r>
        <w:rPr>
          <w:rFonts w:hint="eastAsia"/>
          <w:b/>
          <w:color w:val="auto"/>
        </w:rPr>
        <w:t>二、服务部分</w:t>
      </w:r>
      <w:bookmarkEnd w:id="145"/>
      <w:bookmarkEnd w:id="146"/>
      <w:bookmarkEnd w:id="147"/>
      <w:bookmarkEnd w:id="148"/>
      <w:bookmarkEnd w:id="149"/>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0" w:name="_Toc485108798"/>
      <w:bookmarkStart w:id="151" w:name="_Toc480979020"/>
      <w:bookmarkStart w:id="152" w:name="_Toc313008358"/>
      <w:bookmarkStart w:id="153" w:name="_Toc313888362"/>
      <w:bookmarkStart w:id="154" w:name="_Toc342913421"/>
      <w:r>
        <w:rPr>
          <w:rFonts w:hint="eastAsia"/>
          <w:b/>
          <w:color w:val="auto"/>
        </w:rPr>
        <w:t>三、商务部分</w:t>
      </w:r>
      <w:bookmarkEnd w:id="150"/>
      <w:bookmarkEnd w:id="151"/>
      <w:bookmarkEnd w:id="152"/>
      <w:bookmarkEnd w:id="153"/>
      <w:bookmarkEnd w:id="154"/>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2"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5"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5"/>
      <w:bookmarkStart w:id="156" w:name="_Toc313888363"/>
      <w:bookmarkStart w:id="157" w:name="_Toc313008359"/>
      <w:bookmarkStart w:id="158"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6"/>
      <w:bookmarkEnd w:id="157"/>
      <w:bookmarkEnd w:id="158"/>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9" w:name="OLE_LINK4"/>
      <w:bookmarkStart w:id="160"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9"/>
    <w:bookmarkEnd w:id="160"/>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61" w:name="_Toc31463"/>
      <w:bookmarkStart w:id="162"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61"/>
    <w:bookmarkEnd w:id="162"/>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BF942D3-5CB6-4377-B5F2-2993160604BC}"/>
  </w:font>
  <w:font w:name="黑体">
    <w:panose1 w:val="02010609060101010101"/>
    <w:charset w:val="86"/>
    <w:family w:val="auto"/>
    <w:pitch w:val="default"/>
    <w:sig w:usb0="800002BF" w:usb1="38CF7CFA" w:usb2="00000016" w:usb3="00000000" w:csb0="00040001" w:csb1="00000000"/>
    <w:embedRegular r:id="rId2" w:fontKey="{D884F14C-3C96-4BA1-8109-68CD822496C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CE30CBA0-E1A9-4715-BCA6-DA7251849672}"/>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067706DD-7225-479E-A097-27153B651BC5}"/>
  </w:font>
  <w:font w:name="方正小标宋简体">
    <w:panose1 w:val="02000000000000000000"/>
    <w:charset w:val="86"/>
    <w:family w:val="auto"/>
    <w:pitch w:val="default"/>
    <w:sig w:usb0="00000001" w:usb1="08000000" w:usb2="00000000" w:usb3="00000000" w:csb0="00040000" w:csb1="00000000"/>
    <w:embedRegular r:id="rId5" w:fontKey="{FA72E1BB-91FB-433A-B512-CE7908EB15B8}"/>
  </w:font>
  <w:font w:name="方正黑体_GBK">
    <w:panose1 w:val="03000509000000000000"/>
    <w:charset w:val="86"/>
    <w:family w:val="script"/>
    <w:pitch w:val="default"/>
    <w:sig w:usb0="00000001" w:usb1="080E0000" w:usb2="00000000" w:usb3="00000000" w:csb0="00040000" w:csb1="00000000"/>
    <w:embedRegular r:id="rId6" w:fontKey="{230CD8B5-A8E0-4C21-8B2C-EAEBC82AF2D3}"/>
  </w:font>
  <w:font w:name="方正小标宋_GBK">
    <w:panose1 w:val="02000000000000000000"/>
    <w:charset w:val="86"/>
    <w:family w:val="script"/>
    <w:pitch w:val="default"/>
    <w:sig w:usb0="00000001" w:usb1="080E0000" w:usb2="00000000" w:usb3="00000000" w:csb0="00040000" w:csb1="00000000"/>
    <w:embedRegular r:id="rId7" w:fontKey="{053A8CDC-754C-4928-8A7A-2E1265D9EEEB}"/>
  </w:font>
  <w:font w:name="微软雅黑">
    <w:panose1 w:val="020B0503020204020204"/>
    <w:charset w:val="86"/>
    <w:family w:val="auto"/>
    <w:pitch w:val="default"/>
    <w:sig w:usb0="80000287" w:usb1="280F3C52" w:usb2="00000016" w:usb3="00000000" w:csb0="0004001F" w:csb1="00000000"/>
    <w:embedRegular r:id="rId8" w:fontKey="{946E5A4D-547D-4844-8D37-D88830A280CE}"/>
  </w:font>
  <w:font w:name="方正仿宋_GBK">
    <w:panose1 w:val="03000509000000000000"/>
    <w:charset w:val="86"/>
    <w:family w:val="script"/>
    <w:pitch w:val="default"/>
    <w:sig w:usb0="00000001" w:usb1="080E0000" w:usb2="00000000" w:usb3="00000000" w:csb0="00040000" w:csb1="00000000"/>
    <w:embedRegular r:id="rId9" w:fontKey="{6B16982D-1B41-419A-9386-3B5E87110770}"/>
  </w:font>
  <w:font w:name="楷体">
    <w:panose1 w:val="02010609060101010101"/>
    <w:charset w:val="86"/>
    <w:family w:val="auto"/>
    <w:pitch w:val="default"/>
    <w:sig w:usb0="800002BF" w:usb1="38CF7CFA" w:usb2="00000016" w:usb3="00000000" w:csb0="00040001" w:csb1="00000000"/>
    <w:embedRegular r:id="rId10" w:fontKey="{CC9BD463-CA90-4123-945B-B16444C4A1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091C"/>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4F12E9E"/>
    <w:rsid w:val="06BC1BB0"/>
    <w:rsid w:val="074B1659"/>
    <w:rsid w:val="07C5765D"/>
    <w:rsid w:val="07F26429"/>
    <w:rsid w:val="0ACF458A"/>
    <w:rsid w:val="0B6F68C5"/>
    <w:rsid w:val="0BAE21B6"/>
    <w:rsid w:val="0BDC31C7"/>
    <w:rsid w:val="0BE1258C"/>
    <w:rsid w:val="0C033E70"/>
    <w:rsid w:val="0C931BB2"/>
    <w:rsid w:val="0C975B64"/>
    <w:rsid w:val="0E0E625A"/>
    <w:rsid w:val="0E4D3D6E"/>
    <w:rsid w:val="0E5721EA"/>
    <w:rsid w:val="0E5A796A"/>
    <w:rsid w:val="0E5B6625"/>
    <w:rsid w:val="0E9859A3"/>
    <w:rsid w:val="0ECE4584"/>
    <w:rsid w:val="0F291536"/>
    <w:rsid w:val="0FAB0EE6"/>
    <w:rsid w:val="0FD61CDB"/>
    <w:rsid w:val="10246EEB"/>
    <w:rsid w:val="10413B50"/>
    <w:rsid w:val="104D689B"/>
    <w:rsid w:val="109D57E0"/>
    <w:rsid w:val="134E0964"/>
    <w:rsid w:val="14B95EDB"/>
    <w:rsid w:val="14C6168E"/>
    <w:rsid w:val="152B4E93"/>
    <w:rsid w:val="15604521"/>
    <w:rsid w:val="17E52B34"/>
    <w:rsid w:val="18130842"/>
    <w:rsid w:val="18675712"/>
    <w:rsid w:val="19394057"/>
    <w:rsid w:val="19B7492C"/>
    <w:rsid w:val="1B803054"/>
    <w:rsid w:val="1B925650"/>
    <w:rsid w:val="1C0025BA"/>
    <w:rsid w:val="1CED540D"/>
    <w:rsid w:val="1CF736B7"/>
    <w:rsid w:val="1D226DF7"/>
    <w:rsid w:val="1D632E00"/>
    <w:rsid w:val="1DD87EDC"/>
    <w:rsid w:val="1E9D4968"/>
    <w:rsid w:val="1F2D0A6E"/>
    <w:rsid w:val="1F6A74CC"/>
    <w:rsid w:val="1F6D6E4A"/>
    <w:rsid w:val="1FCE723D"/>
    <w:rsid w:val="20084BEF"/>
    <w:rsid w:val="203372B2"/>
    <w:rsid w:val="20337B99"/>
    <w:rsid w:val="204C6181"/>
    <w:rsid w:val="20FB0BC7"/>
    <w:rsid w:val="2114239C"/>
    <w:rsid w:val="21C45BE8"/>
    <w:rsid w:val="21F678C9"/>
    <w:rsid w:val="21F94F0D"/>
    <w:rsid w:val="224F1BA5"/>
    <w:rsid w:val="22A504FD"/>
    <w:rsid w:val="23743B1F"/>
    <w:rsid w:val="254D6667"/>
    <w:rsid w:val="25B67319"/>
    <w:rsid w:val="25B7688A"/>
    <w:rsid w:val="25B91E1A"/>
    <w:rsid w:val="26380176"/>
    <w:rsid w:val="271E4A07"/>
    <w:rsid w:val="275D539C"/>
    <w:rsid w:val="287535CD"/>
    <w:rsid w:val="28CD4235"/>
    <w:rsid w:val="28D01566"/>
    <w:rsid w:val="28E31299"/>
    <w:rsid w:val="2B3D6767"/>
    <w:rsid w:val="2BBD2276"/>
    <w:rsid w:val="2E4A05E4"/>
    <w:rsid w:val="2E786DB1"/>
    <w:rsid w:val="2F1F1F02"/>
    <w:rsid w:val="2F2348BD"/>
    <w:rsid w:val="2F6F1AD9"/>
    <w:rsid w:val="2FD06C0B"/>
    <w:rsid w:val="30A44277"/>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A9A5BD5"/>
    <w:rsid w:val="3B30241A"/>
    <w:rsid w:val="3C4F6F1A"/>
    <w:rsid w:val="3DD60FEB"/>
    <w:rsid w:val="3E263CAA"/>
    <w:rsid w:val="3E491747"/>
    <w:rsid w:val="3E6B192F"/>
    <w:rsid w:val="3EA55BAC"/>
    <w:rsid w:val="3F591E5E"/>
    <w:rsid w:val="40113C23"/>
    <w:rsid w:val="403F2E01"/>
    <w:rsid w:val="404A2E64"/>
    <w:rsid w:val="40E52488"/>
    <w:rsid w:val="40EC4935"/>
    <w:rsid w:val="41007A8F"/>
    <w:rsid w:val="415869FC"/>
    <w:rsid w:val="41AB14E8"/>
    <w:rsid w:val="41D67141"/>
    <w:rsid w:val="42030507"/>
    <w:rsid w:val="420A020E"/>
    <w:rsid w:val="429D5EC0"/>
    <w:rsid w:val="444565A3"/>
    <w:rsid w:val="461B60BF"/>
    <w:rsid w:val="46C96141"/>
    <w:rsid w:val="46FD5C4E"/>
    <w:rsid w:val="475461C4"/>
    <w:rsid w:val="477A0BC3"/>
    <w:rsid w:val="47F3755A"/>
    <w:rsid w:val="4863054A"/>
    <w:rsid w:val="48FA020D"/>
    <w:rsid w:val="492C6FBB"/>
    <w:rsid w:val="499D1F70"/>
    <w:rsid w:val="4A1025A8"/>
    <w:rsid w:val="4AC26B09"/>
    <w:rsid w:val="4AD41B9B"/>
    <w:rsid w:val="4AED1C9D"/>
    <w:rsid w:val="4BE8259F"/>
    <w:rsid w:val="4C4E289A"/>
    <w:rsid w:val="4E231003"/>
    <w:rsid w:val="4EF70D4B"/>
    <w:rsid w:val="4F2E0C11"/>
    <w:rsid w:val="4F79418A"/>
    <w:rsid w:val="50B9275C"/>
    <w:rsid w:val="50FE286B"/>
    <w:rsid w:val="514069D9"/>
    <w:rsid w:val="51D77CAA"/>
    <w:rsid w:val="52ED493F"/>
    <w:rsid w:val="531F0FF7"/>
    <w:rsid w:val="546107D9"/>
    <w:rsid w:val="55297C80"/>
    <w:rsid w:val="56644F18"/>
    <w:rsid w:val="56FF2E93"/>
    <w:rsid w:val="58B574EB"/>
    <w:rsid w:val="58FC1D80"/>
    <w:rsid w:val="593509FB"/>
    <w:rsid w:val="59893E96"/>
    <w:rsid w:val="59E56370"/>
    <w:rsid w:val="5A545B21"/>
    <w:rsid w:val="5B3E21DC"/>
    <w:rsid w:val="5B4A5024"/>
    <w:rsid w:val="5BC414F3"/>
    <w:rsid w:val="5CAE15E3"/>
    <w:rsid w:val="5D290C69"/>
    <w:rsid w:val="5F3F2DAC"/>
    <w:rsid w:val="5FB15C3A"/>
    <w:rsid w:val="5FF531E2"/>
    <w:rsid w:val="6022194E"/>
    <w:rsid w:val="60D65D3F"/>
    <w:rsid w:val="60F4333C"/>
    <w:rsid w:val="611A50B4"/>
    <w:rsid w:val="619C43F3"/>
    <w:rsid w:val="61D82971"/>
    <w:rsid w:val="6269072D"/>
    <w:rsid w:val="62A30CCB"/>
    <w:rsid w:val="645A13DB"/>
    <w:rsid w:val="667E25AF"/>
    <w:rsid w:val="66815672"/>
    <w:rsid w:val="6972525B"/>
    <w:rsid w:val="69FC5E8B"/>
    <w:rsid w:val="6B217424"/>
    <w:rsid w:val="6B28360F"/>
    <w:rsid w:val="6B9F4D55"/>
    <w:rsid w:val="6BAA3DD9"/>
    <w:rsid w:val="6D4D62AE"/>
    <w:rsid w:val="6DC70D5C"/>
    <w:rsid w:val="6E45126B"/>
    <w:rsid w:val="6F062BB9"/>
    <w:rsid w:val="6F213E8F"/>
    <w:rsid w:val="70E64A50"/>
    <w:rsid w:val="71231A63"/>
    <w:rsid w:val="739465A0"/>
    <w:rsid w:val="73B34AD5"/>
    <w:rsid w:val="77452BA0"/>
    <w:rsid w:val="77B52272"/>
    <w:rsid w:val="783A1618"/>
    <w:rsid w:val="788222E3"/>
    <w:rsid w:val="7908485F"/>
    <w:rsid w:val="7936053E"/>
    <w:rsid w:val="793F0B2C"/>
    <w:rsid w:val="797D07AB"/>
    <w:rsid w:val="79AC25AE"/>
    <w:rsid w:val="7B306E47"/>
    <w:rsid w:val="7C3F595C"/>
    <w:rsid w:val="7C683BAE"/>
    <w:rsid w:val="7CBD0742"/>
    <w:rsid w:val="7D7D55A3"/>
    <w:rsid w:val="7E3C60AD"/>
    <w:rsid w:val="7FEC5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3</TotalTime>
  <ScaleCrop>false</ScaleCrop>
  <LinksUpToDate>false</LinksUpToDate>
  <CharactersWithSpaces>18825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2024-03-08T01:51:28Z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D90EFDEDCD294DEAB041A069E42458C9</vt:lpwstr>
  </property>
</Properties>
</file>