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固定污染源视频监控</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九</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技术参数要求</w:t>
      </w:r>
      <w:r>
        <w:rPr>
          <w:color w:val="auto"/>
        </w:rPr>
        <w:tab/>
      </w:r>
      <w:r>
        <w:rPr>
          <w:color w:val="auto"/>
        </w:rPr>
        <w:fldChar w:fldCharType="begin"/>
      </w:r>
      <w:r>
        <w:rPr>
          <w:color w:val="auto"/>
        </w:rPr>
        <w:instrText xml:space="preserve"> PAGEREF _Toc766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_Toc279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四</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b/>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3"/>
        <w:bidi w:val="0"/>
        <w:jc w:val="center"/>
        <w:rPr>
          <w:rFonts w:hint="eastAsia" w:ascii="微软雅黑" w:hAnsi="微软雅黑" w:eastAsia="微软雅黑" w:cs="微软雅黑"/>
          <w:b/>
          <w:color w:val="auto"/>
        </w:rPr>
      </w:pPr>
      <w:bookmarkStart w:id="0" w:name="_Toc25875"/>
      <w:bookmarkStart w:id="1" w:name="_Toc12789052"/>
      <w:bookmarkStart w:id="2" w:name="_Toc11641050"/>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固定污染源视频监控</w:t>
      </w:r>
      <w:r>
        <w:rPr>
          <w:rFonts w:hint="eastAsia" w:ascii="方正仿宋_GBK" w:hAnsi="宋体" w:eastAsia="方正仿宋_GBK" w:cs="Times New Roman"/>
          <w:color w:val="auto"/>
          <w:sz w:val="24"/>
          <w:szCs w:val="24"/>
        </w:rPr>
        <w:t>进行院内比选采购。欢迎有资格、有实力的潜在供应商参加。</w:t>
      </w:r>
    </w:p>
    <w:p>
      <w:pPr>
        <w:pStyle w:val="4"/>
        <w:spacing w:line="240" w:lineRule="auto"/>
        <w:rPr>
          <w:rFonts w:hint="eastAsia" w:ascii="微软雅黑" w:hAnsi="微软雅黑" w:eastAsia="微软雅黑" w:cs="微软雅黑"/>
          <w:color w:val="auto"/>
          <w:sz w:val="24"/>
          <w:szCs w:val="24"/>
        </w:rPr>
      </w:pPr>
      <w:bookmarkStart w:id="6" w:name="_Toc317775175"/>
      <w:bookmarkStart w:id="7" w:name="_Toc28443"/>
      <w:bookmarkStart w:id="8" w:name="_Toc313893526"/>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862"/>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862" w:type="dxa"/>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537"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仿宋_GBK" w:hAnsi="宋体" w:eastAsia="方正仿宋_GBK"/>
                <w:color w:val="auto"/>
                <w:sz w:val="24"/>
                <w:szCs w:val="24"/>
                <w:lang w:val="en-US" w:eastAsia="zh-CN"/>
              </w:rPr>
              <w:t>固定污染源视频监控</w:t>
            </w:r>
          </w:p>
        </w:tc>
        <w:tc>
          <w:tcPr>
            <w:tcW w:w="2862"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537"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4"/>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FF0000"/>
          <w:sz w:val="24"/>
          <w:szCs w:val="24"/>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有效的三证合一营业执照</w:t>
      </w:r>
    </w:p>
    <w:p>
      <w:pPr>
        <w:pStyle w:val="4"/>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23</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w:t>
      </w:r>
      <w:bookmarkStart w:id="169" w:name="_GoBack"/>
      <w:bookmarkEnd w:id="169"/>
      <w:r>
        <w:rPr>
          <w:rFonts w:hint="eastAsia" w:ascii="方正仿宋_GBK" w:hAnsi="宋体" w:eastAsia="方正仿宋_GBK"/>
          <w:color w:val="auto"/>
          <w:sz w:val="24"/>
          <w:szCs w:val="24"/>
          <w:lang w:val="en-US" w:eastAsia="zh-CN"/>
        </w:rPr>
        <w:t>;00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待定，见官网公告。</w:t>
      </w:r>
    </w:p>
    <w:p>
      <w:pPr>
        <w:pStyle w:val="4"/>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4"/>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3"/>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3"/>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4"/>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4"/>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4"/>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同时提交详尽的工程报价及实施方案。投标人应充分考虑完成本工程的各种因素并满足甲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79714298"/>
      <w:bookmarkStart w:id="40" w:name="_Toc18122"/>
      <w:bookmarkStart w:id="41" w:name="_Toc342913393"/>
      <w:bookmarkStart w:id="42" w:name="_Toc102227319"/>
      <w:bookmarkStart w:id="43" w:name="_Toc403569780"/>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4"/>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4"/>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4"/>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4"/>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4"/>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3"/>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3"/>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4"/>
        <w:numPr>
          <w:ilvl w:val="0"/>
          <w:numId w:val="13"/>
        </w:numPr>
        <w:spacing w:line="240" w:lineRule="auto"/>
        <w:rPr>
          <w:rFonts w:hint="eastAsia" w:ascii="微软雅黑" w:hAnsi="微软雅黑" w:eastAsia="微软雅黑" w:cs="微软雅黑"/>
          <w:color w:val="auto"/>
          <w:sz w:val="24"/>
          <w:szCs w:val="24"/>
          <w:lang w:eastAsia="zh-CN"/>
        </w:rPr>
      </w:pPr>
      <w:bookmarkStart w:id="67" w:name="_Toc12789058"/>
      <w:r>
        <w:rPr>
          <w:rFonts w:hint="eastAsia" w:ascii="微软雅黑" w:hAnsi="微软雅黑" w:eastAsia="微软雅黑" w:cs="微软雅黑"/>
          <w:color w:val="auto"/>
          <w:sz w:val="24"/>
          <w:szCs w:val="24"/>
          <w:lang w:eastAsia="zh-CN"/>
        </w:rPr>
        <w:t>项目概况</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项目概况：项目安装地址位于重庆医科大学附属永川医院污水处理站，共需安装5台监控以及存储设备、显示器等配套设施。设备清单见附件1。</w:t>
      </w:r>
    </w:p>
    <w:p>
      <w:pPr>
        <w:pStyle w:val="4"/>
        <w:numPr>
          <w:ilvl w:val="0"/>
          <w:numId w:val="13"/>
        </w:numPr>
        <w:spacing w:line="240" w:lineRule="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服务需求</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1、服务方须将产品按时送达采购方指定地点并派专业人员完成安装调试，对相关人员进行培训。</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2、在施工过程中，服务方应采取有效的安全措施，保证施工人员和其他人员的人身安全，并承担因安全事故导致的一切经济和法律责任。如有损坏财产须照价赔偿。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3、服务方需按照重庆市永川区生态环境局关于转发重庆市生态环境局办公室《关于印发&lt;重庆市固定污染源视频监控建设技术要求&gt;的通知》的通知（永环发﹝2023﹞84号）文件要求实施，具体要求见</w:t>
      </w:r>
      <w:r>
        <w:rPr>
          <w:rFonts w:hint="eastAsia" w:ascii="方正仿宋_GBK" w:hAnsi="宋体" w:eastAsia="方正仿宋_GBK" w:cs="Times New Roman"/>
          <w:color w:val="FF0000"/>
          <w:sz w:val="24"/>
          <w:szCs w:val="24"/>
          <w:lang w:eastAsia="zh-CN"/>
        </w:rPr>
        <w:t>网站</w:t>
      </w:r>
      <w:r>
        <w:rPr>
          <w:rFonts w:hint="eastAsia" w:ascii="方正仿宋_GBK" w:hAnsi="宋体" w:eastAsia="方正仿宋_GBK" w:cs="Times New Roman"/>
          <w:color w:val="FF0000"/>
          <w:sz w:val="24"/>
          <w:szCs w:val="24"/>
        </w:rPr>
        <w:t>附件3。</w:t>
      </w: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b w:val="0"/>
          <w:bCs w:val="0"/>
          <w:color w:val="FF0000"/>
          <w:sz w:val="32"/>
          <w:szCs w:val="32"/>
        </w:rPr>
      </w:pPr>
      <w:r>
        <w:rPr>
          <w:rFonts w:hint="eastAsia"/>
          <w:b w:val="0"/>
          <w:bCs w:val="0"/>
          <w:color w:val="FF0000"/>
          <w:sz w:val="32"/>
          <w:szCs w:val="32"/>
        </w:rPr>
        <w:t>附件1</w:t>
      </w:r>
    </w:p>
    <w:p>
      <w:pPr>
        <w:spacing w:line="360" w:lineRule="auto"/>
        <w:jc w:val="center"/>
        <w:rPr>
          <w:b w:val="0"/>
          <w:bCs w:val="0"/>
          <w:color w:val="FF0000"/>
          <w:sz w:val="28"/>
          <w:szCs w:val="28"/>
        </w:rPr>
      </w:pPr>
      <w:r>
        <w:rPr>
          <w:rFonts w:hint="eastAsia"/>
          <w:b w:val="0"/>
          <w:bCs w:val="0"/>
          <w:color w:val="FF0000"/>
          <w:sz w:val="28"/>
          <w:szCs w:val="28"/>
        </w:rPr>
        <w:t>视频监控清单</w:t>
      </w:r>
    </w:p>
    <w:tbl>
      <w:tblPr>
        <w:tblStyle w:val="58"/>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2585"/>
        <w:gridCol w:w="1431"/>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243" w:type="dxa"/>
            <w:vAlign w:val="center"/>
          </w:tcPr>
          <w:p>
            <w:pPr>
              <w:spacing w:line="500" w:lineRule="exact"/>
              <w:jc w:val="center"/>
              <w:rPr>
                <w:rFonts w:ascii="宋体" w:hAnsi="宋体" w:cs="宋体"/>
                <w:b w:val="0"/>
                <w:bCs w:val="0"/>
                <w:color w:val="FF0000"/>
                <w:sz w:val="24"/>
              </w:rPr>
            </w:pPr>
            <w:r>
              <w:rPr>
                <w:rFonts w:hint="eastAsia" w:ascii="宋体" w:hAnsi="宋体" w:cs="宋体"/>
                <w:b w:val="0"/>
                <w:bCs w:val="0"/>
                <w:color w:val="FF0000"/>
                <w:sz w:val="24"/>
              </w:rPr>
              <w:t>名称</w:t>
            </w:r>
          </w:p>
        </w:tc>
        <w:tc>
          <w:tcPr>
            <w:tcW w:w="2585" w:type="dxa"/>
            <w:vAlign w:val="center"/>
          </w:tcPr>
          <w:p>
            <w:pPr>
              <w:spacing w:line="500" w:lineRule="exact"/>
              <w:jc w:val="center"/>
              <w:rPr>
                <w:rFonts w:ascii="宋体" w:hAnsi="宋体" w:cs="宋体"/>
                <w:b w:val="0"/>
                <w:bCs w:val="0"/>
                <w:color w:val="FF0000"/>
                <w:sz w:val="24"/>
              </w:rPr>
            </w:pPr>
            <w:r>
              <w:rPr>
                <w:rFonts w:hint="eastAsia" w:ascii="宋体" w:hAnsi="宋体" w:cs="宋体"/>
                <w:b w:val="0"/>
                <w:bCs w:val="0"/>
                <w:color w:val="FF0000"/>
                <w:sz w:val="24"/>
              </w:rPr>
              <w:t>位置</w:t>
            </w:r>
          </w:p>
        </w:tc>
        <w:tc>
          <w:tcPr>
            <w:tcW w:w="1431" w:type="dxa"/>
            <w:vAlign w:val="center"/>
          </w:tcPr>
          <w:p>
            <w:pPr>
              <w:spacing w:line="500" w:lineRule="exact"/>
              <w:jc w:val="center"/>
              <w:rPr>
                <w:rFonts w:ascii="宋体" w:hAnsi="宋体" w:cs="宋体"/>
                <w:b w:val="0"/>
                <w:bCs w:val="0"/>
                <w:color w:val="FF0000"/>
                <w:sz w:val="24"/>
              </w:rPr>
            </w:pPr>
            <w:r>
              <w:rPr>
                <w:rFonts w:hint="eastAsia" w:ascii="宋体" w:hAnsi="宋体" w:cs="宋体"/>
                <w:b w:val="0"/>
                <w:bCs w:val="0"/>
                <w:color w:val="FF0000"/>
                <w:sz w:val="24"/>
              </w:rPr>
              <w:t>数量</w:t>
            </w:r>
          </w:p>
        </w:tc>
        <w:tc>
          <w:tcPr>
            <w:tcW w:w="1431" w:type="dxa"/>
          </w:tcPr>
          <w:p>
            <w:pPr>
              <w:spacing w:line="500" w:lineRule="exact"/>
              <w:jc w:val="center"/>
              <w:rPr>
                <w:rFonts w:ascii="宋体" w:hAnsi="宋体" w:cs="宋体"/>
                <w:b w:val="0"/>
                <w:bCs w:val="0"/>
                <w:color w:val="FF0000"/>
                <w:sz w:val="24"/>
              </w:rPr>
            </w:pPr>
            <w:r>
              <w:rPr>
                <w:rFonts w:hint="eastAsia" w:ascii="宋体" w:hAnsi="宋体" w:cs="宋体"/>
                <w:b w:val="0"/>
                <w:bCs w:val="0"/>
                <w:color w:val="FF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snapToGrid w:val="0"/>
                <w:color w:val="FF0000"/>
                <w:sz w:val="24"/>
              </w:rPr>
            </w:pPr>
            <w:r>
              <w:rPr>
                <w:rFonts w:hint="eastAsia" w:ascii="宋体" w:hAnsi="宋体" w:cs="宋体"/>
                <w:b w:val="0"/>
                <w:bCs w:val="0"/>
                <w:color w:val="FF0000"/>
                <w:sz w:val="24"/>
              </w:rPr>
              <w:t>红外半球</w:t>
            </w:r>
          </w:p>
        </w:tc>
        <w:tc>
          <w:tcPr>
            <w:tcW w:w="2585"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监测站房</w:t>
            </w:r>
          </w:p>
        </w:tc>
        <w:tc>
          <w:tcPr>
            <w:tcW w:w="1431" w:type="dxa"/>
            <w:vAlign w:val="center"/>
          </w:tcPr>
          <w:p>
            <w:pPr>
              <w:spacing w:before="175" w:line="219" w:lineRule="auto"/>
              <w:jc w:val="center"/>
              <w:rPr>
                <w:rFonts w:ascii="宋体" w:hAnsi="宋体" w:cs="宋体"/>
                <w:b w:val="0"/>
                <w:bCs w:val="0"/>
                <w:color w:val="FF0000"/>
                <w:sz w:val="24"/>
              </w:rPr>
            </w:pPr>
            <w:r>
              <w:rPr>
                <w:rFonts w:hint="eastAsia" w:ascii="宋体" w:hAnsi="宋体" w:cs="宋体"/>
                <w:b w:val="0"/>
                <w:bCs w:val="0"/>
                <w:color w:val="FF0000"/>
                <w:sz w:val="24"/>
              </w:rPr>
              <w:t>1台</w:t>
            </w:r>
          </w:p>
        </w:tc>
        <w:tc>
          <w:tcPr>
            <w:tcW w:w="1431" w:type="dxa"/>
          </w:tcPr>
          <w:p>
            <w:pPr>
              <w:spacing w:before="175" w:line="219" w:lineRule="auto"/>
              <w:jc w:val="center"/>
              <w:rPr>
                <w:rFonts w:ascii="宋体" w:hAnsi="宋体" w:cs="宋体"/>
                <w:b w:val="0"/>
                <w:bCs w:val="0"/>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3243"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红外一体机</w:t>
            </w:r>
          </w:p>
        </w:tc>
        <w:tc>
          <w:tcPr>
            <w:tcW w:w="2585"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进水口、风机房、采样口和排水口</w:t>
            </w:r>
          </w:p>
        </w:tc>
        <w:tc>
          <w:tcPr>
            <w:tcW w:w="1431" w:type="dxa"/>
            <w:vAlign w:val="center"/>
          </w:tcPr>
          <w:p>
            <w:pPr>
              <w:spacing w:before="173" w:line="218" w:lineRule="auto"/>
              <w:jc w:val="center"/>
              <w:rPr>
                <w:rFonts w:ascii="宋体" w:hAnsi="宋体" w:cs="宋体"/>
                <w:b w:val="0"/>
                <w:bCs w:val="0"/>
                <w:color w:val="FF0000"/>
                <w:sz w:val="24"/>
              </w:rPr>
            </w:pPr>
            <w:r>
              <w:rPr>
                <w:rFonts w:hint="eastAsia" w:ascii="宋体" w:hAnsi="宋体" w:cs="宋体"/>
                <w:b w:val="0"/>
                <w:bCs w:val="0"/>
                <w:color w:val="FF0000"/>
                <w:sz w:val="24"/>
              </w:rPr>
              <w:t>3台</w:t>
            </w:r>
          </w:p>
        </w:tc>
        <w:tc>
          <w:tcPr>
            <w:tcW w:w="1431" w:type="dxa"/>
          </w:tcPr>
          <w:p>
            <w:pPr>
              <w:spacing w:before="173" w:line="218" w:lineRule="auto"/>
              <w:jc w:val="center"/>
              <w:rPr>
                <w:rFonts w:ascii="宋体" w:hAnsi="宋体" w:cs="宋体"/>
                <w:b w:val="0"/>
                <w:bCs w:val="0"/>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红外智能球机</w:t>
            </w:r>
          </w:p>
        </w:tc>
        <w:tc>
          <w:tcPr>
            <w:tcW w:w="2585"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加药间</w:t>
            </w:r>
          </w:p>
        </w:tc>
        <w:tc>
          <w:tcPr>
            <w:tcW w:w="1431" w:type="dxa"/>
            <w:vAlign w:val="center"/>
          </w:tcPr>
          <w:p>
            <w:pPr>
              <w:spacing w:before="173" w:line="218" w:lineRule="auto"/>
              <w:jc w:val="center"/>
              <w:rPr>
                <w:rFonts w:ascii="宋体" w:hAnsi="宋体" w:cs="宋体"/>
                <w:b w:val="0"/>
                <w:bCs w:val="0"/>
                <w:color w:val="FF0000"/>
                <w:sz w:val="24"/>
              </w:rPr>
            </w:pPr>
            <w:r>
              <w:rPr>
                <w:rFonts w:hint="eastAsia" w:ascii="宋体" w:hAnsi="宋体" w:cs="宋体"/>
                <w:b w:val="0"/>
                <w:bCs w:val="0"/>
                <w:color w:val="FF0000"/>
                <w:sz w:val="24"/>
              </w:rPr>
              <w:t>1台</w:t>
            </w:r>
          </w:p>
        </w:tc>
        <w:tc>
          <w:tcPr>
            <w:tcW w:w="1431" w:type="dxa"/>
          </w:tcPr>
          <w:p>
            <w:pPr>
              <w:spacing w:before="173" w:line="218" w:lineRule="auto"/>
              <w:jc w:val="center"/>
              <w:rPr>
                <w:rFonts w:ascii="宋体" w:hAnsi="宋体" w:cs="宋体"/>
                <w:b w:val="0"/>
                <w:bCs w:val="0"/>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243"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NVR存储联网设备</w:t>
            </w:r>
          </w:p>
        </w:tc>
        <w:tc>
          <w:tcPr>
            <w:tcW w:w="2585"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办公室</w:t>
            </w:r>
          </w:p>
        </w:tc>
        <w:tc>
          <w:tcPr>
            <w:tcW w:w="1431" w:type="dxa"/>
            <w:vAlign w:val="center"/>
          </w:tcPr>
          <w:p>
            <w:pPr>
              <w:spacing w:before="173" w:line="218" w:lineRule="auto"/>
              <w:jc w:val="center"/>
              <w:rPr>
                <w:rFonts w:ascii="宋体" w:hAnsi="宋体" w:cs="宋体"/>
                <w:b w:val="0"/>
                <w:bCs w:val="0"/>
                <w:color w:val="FF0000"/>
                <w:sz w:val="24"/>
              </w:rPr>
            </w:pPr>
            <w:r>
              <w:rPr>
                <w:rFonts w:hint="eastAsia" w:ascii="宋体" w:hAnsi="宋体" w:cs="宋体"/>
                <w:b w:val="0"/>
                <w:bCs w:val="0"/>
                <w:color w:val="FF0000"/>
                <w:sz w:val="24"/>
              </w:rPr>
              <w:t>1套</w:t>
            </w:r>
          </w:p>
        </w:tc>
        <w:tc>
          <w:tcPr>
            <w:tcW w:w="1431" w:type="dxa"/>
          </w:tcPr>
          <w:p>
            <w:pPr>
              <w:spacing w:before="173" w:line="218" w:lineRule="auto"/>
              <w:jc w:val="center"/>
              <w:rPr>
                <w:rFonts w:ascii="宋体" w:hAnsi="宋体" w:cs="宋体"/>
                <w:b w:val="0"/>
                <w:bCs w:val="0"/>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显示器</w:t>
            </w:r>
          </w:p>
        </w:tc>
        <w:tc>
          <w:tcPr>
            <w:tcW w:w="2585" w:type="dxa"/>
            <w:vAlign w:val="center"/>
          </w:tcPr>
          <w:p>
            <w:pPr>
              <w:spacing w:before="132" w:line="219" w:lineRule="auto"/>
              <w:rPr>
                <w:rFonts w:ascii="宋体" w:hAnsi="宋体" w:cs="宋体"/>
                <w:b w:val="0"/>
                <w:bCs w:val="0"/>
                <w:color w:val="FF0000"/>
                <w:sz w:val="24"/>
              </w:rPr>
            </w:pPr>
            <w:r>
              <w:rPr>
                <w:rFonts w:hint="eastAsia" w:ascii="宋体" w:hAnsi="宋体" w:cs="宋体"/>
                <w:b w:val="0"/>
                <w:bCs w:val="0"/>
                <w:color w:val="FF0000"/>
                <w:sz w:val="24"/>
              </w:rPr>
              <w:t>办公室</w:t>
            </w:r>
          </w:p>
        </w:tc>
        <w:tc>
          <w:tcPr>
            <w:tcW w:w="1431" w:type="dxa"/>
            <w:vAlign w:val="center"/>
          </w:tcPr>
          <w:p>
            <w:pPr>
              <w:spacing w:before="173" w:line="218" w:lineRule="auto"/>
              <w:jc w:val="center"/>
              <w:rPr>
                <w:rFonts w:ascii="宋体" w:hAnsi="宋体" w:cs="宋体"/>
                <w:b w:val="0"/>
                <w:bCs w:val="0"/>
                <w:color w:val="FF0000"/>
                <w:sz w:val="24"/>
              </w:rPr>
            </w:pPr>
            <w:r>
              <w:rPr>
                <w:rFonts w:hint="eastAsia" w:ascii="宋体" w:hAnsi="宋体" w:cs="宋体"/>
                <w:b w:val="0"/>
                <w:bCs w:val="0"/>
                <w:color w:val="FF0000"/>
                <w:sz w:val="24"/>
              </w:rPr>
              <w:t>1台</w:t>
            </w:r>
          </w:p>
        </w:tc>
        <w:tc>
          <w:tcPr>
            <w:tcW w:w="1431" w:type="dxa"/>
          </w:tcPr>
          <w:p>
            <w:pPr>
              <w:spacing w:before="173" w:line="218" w:lineRule="auto"/>
              <w:jc w:val="center"/>
              <w:rPr>
                <w:rFonts w:ascii="宋体" w:hAnsi="宋体" w:cs="宋体"/>
                <w:b w:val="0"/>
                <w:bCs w:val="0"/>
                <w:color w:val="FF0000"/>
                <w:sz w:val="24"/>
              </w:rPr>
            </w:pPr>
          </w:p>
        </w:tc>
      </w:tr>
    </w:tbl>
    <w:p>
      <w:pPr>
        <w:jc w:val="left"/>
        <w:rPr>
          <w:szCs w:val="28"/>
        </w:rPr>
      </w:pPr>
    </w:p>
    <w:p>
      <w:pPr>
        <w:pStyle w:val="267"/>
        <w:numPr>
          <w:ilvl w:val="0"/>
          <w:numId w:val="0"/>
        </w:numPr>
        <w:spacing w:line="520" w:lineRule="exact"/>
        <w:ind w:leftChars="0"/>
        <w:rPr>
          <w:rFonts w:hint="default"/>
          <w:color w:val="000000" w:themeColor="text1"/>
          <w:sz w:val="30"/>
          <w:szCs w:val="30"/>
          <w:lang w:val="en-US" w:eastAsia="zh-CN"/>
          <w14:textFill>
            <w14:solidFill>
              <w14:schemeClr w14:val="tx1"/>
            </w14:solidFill>
          </w14:textFill>
        </w:rPr>
      </w:pPr>
    </w:p>
    <w:p>
      <w:pPr>
        <w:numPr>
          <w:ilvl w:val="0"/>
          <w:numId w:val="0"/>
        </w:numPr>
        <w:rPr>
          <w:rFonts w:hint="default"/>
          <w:lang w:val="en-US" w:eastAsia="zh-CN"/>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3"/>
        <w:jc w:val="center"/>
        <w:rPr>
          <w:b/>
          <w:color w:val="auto"/>
          <w:sz w:val="44"/>
          <w:szCs w:val="44"/>
        </w:rPr>
      </w:pPr>
      <w:bookmarkStart w:id="68" w:name="_Toc28327"/>
      <w:bookmarkStart w:id="69" w:name="_Toc485108787"/>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4"/>
        <w:spacing w:line="240" w:lineRule="auto"/>
        <w:rPr>
          <w:rFonts w:hint="eastAsia"/>
          <w:color w:val="auto"/>
          <w:lang w:eastAsia="zh-CN"/>
        </w:rPr>
      </w:pPr>
      <w:bookmarkStart w:id="72" w:name="_Toc485108788"/>
      <w:bookmarkStart w:id="73" w:name="_Toc2302"/>
      <w:bookmarkStart w:id="74" w:name="_Toc344475121"/>
      <w:r>
        <w:rPr>
          <w:rFonts w:hint="eastAsia" w:ascii="微软雅黑" w:hAnsi="微软雅黑" w:eastAsia="微软雅黑" w:cs="微软雅黑"/>
          <w:color w:val="auto"/>
          <w:sz w:val="24"/>
          <w:szCs w:val="24"/>
        </w:rPr>
        <w:t>一、服务地点</w:t>
      </w:r>
      <w:bookmarkEnd w:id="72"/>
      <w:bookmarkEnd w:id="73"/>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1、</w:t>
      </w:r>
      <w:r>
        <w:rPr>
          <w:rFonts w:hint="eastAsia" w:ascii="方正仿宋_GBK" w:hAnsi="宋体" w:eastAsia="方正仿宋_GBK" w:cs="Times New Roman"/>
          <w:color w:val="auto"/>
          <w:sz w:val="24"/>
          <w:szCs w:val="24"/>
        </w:rPr>
        <w:t>服务地点：重庆医科大学附属永川医院</w:t>
      </w:r>
      <w:r>
        <w:rPr>
          <w:rFonts w:hint="eastAsia" w:ascii="方正仿宋_GBK" w:hAnsi="宋体" w:eastAsia="方正仿宋_GBK" w:cs="Times New Roman"/>
          <w:color w:val="auto"/>
          <w:sz w:val="24"/>
          <w:szCs w:val="24"/>
          <w:lang w:eastAsia="zh-CN"/>
        </w:rPr>
        <w:t>（重庆永川区萱花路</w:t>
      </w:r>
      <w:r>
        <w:rPr>
          <w:rFonts w:hint="eastAsia" w:ascii="方正仿宋_GBK" w:hAnsi="宋体" w:eastAsia="方正仿宋_GBK" w:cs="Times New Roman"/>
          <w:color w:val="auto"/>
          <w:sz w:val="24"/>
          <w:szCs w:val="24"/>
          <w:lang w:val="en-US" w:eastAsia="zh-CN"/>
        </w:rPr>
        <w:t>439号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 xml:space="preserve">。 </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bookmarkEnd w:id="74"/>
    <w:p>
      <w:pPr>
        <w:pStyle w:val="4"/>
        <w:spacing w:line="240" w:lineRule="auto"/>
        <w:rPr>
          <w:rFonts w:hint="eastAsia" w:ascii="微软雅黑" w:hAnsi="微软雅黑" w:eastAsia="微软雅黑" w:cs="微软雅黑"/>
          <w:color w:val="auto"/>
          <w:sz w:val="24"/>
          <w:szCs w:val="24"/>
          <w:lang w:val="en-US" w:eastAsia="zh-CN"/>
        </w:rPr>
      </w:pPr>
      <w:bookmarkStart w:id="75" w:name="_Toc485108790"/>
      <w:bookmarkStart w:id="76" w:name="_Toc344475122"/>
      <w:bookmarkStart w:id="77" w:name="_Toc15905"/>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bookmarkEnd w:id="75"/>
      <w:bookmarkEnd w:id="76"/>
      <w:bookmarkEnd w:id="77"/>
      <w:r>
        <w:rPr>
          <w:rFonts w:hint="eastAsia" w:ascii="微软雅黑" w:hAnsi="微软雅黑" w:eastAsia="微软雅黑" w:cs="微软雅黑"/>
          <w:color w:val="auto"/>
          <w:sz w:val="24"/>
          <w:szCs w:val="24"/>
          <w:lang w:eastAsia="zh-CN"/>
        </w:rPr>
        <w:t>商务需求</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bookmarkStart w:id="78" w:name="_Toc11645"/>
      <w:bookmarkStart w:id="79" w:name="_Toc403569795"/>
      <w:bookmarkStart w:id="80" w:name="_Toc7358"/>
      <w:bookmarkStart w:id="81" w:name="_Toc485108793"/>
      <w:r>
        <w:rPr>
          <w:rFonts w:hint="eastAsia" w:ascii="方正仿宋_GBK" w:hAnsi="宋体" w:eastAsia="方正仿宋_GBK" w:cs="Times New Roman"/>
          <w:color w:val="FF0000"/>
          <w:kern w:val="2"/>
          <w:sz w:val="24"/>
          <w:szCs w:val="24"/>
          <w:lang w:val="en-US" w:eastAsia="zh-CN" w:bidi="ar-SA"/>
        </w:rPr>
        <w:t>1、质量要求：本次采购的设施设备为正规厂家生产的全新合格产品，产品质量须符合国家相关的产品质量标准及要求，提供产品检验报告或合格证明。</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2、质保期：1年及以上，质保期内免费维修，质保期外维修只收取材料费。</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报价表：本次报价为包干价，服务方按照报价表（见第六章）进行报价，报价表应包含产品的品牌、生产厂家、规格型号、数量、单价、总价等内容，投标报价包含货款、运输费、搬运费、安装费、调试费、保险费、税费等各项费用。</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4、施工安装：服务方在施工前需由采购方相关部门提交院内施工安全许可审批，取得院内临时施工许可后方可施工，如需动火动焊还需取得采购方管理审批手续。</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验收方式：根据现场合理安排施工周期，设备安装调试需在2023年11月30日前安装固定污染源视频监控建设技术要求完成，并通过环保部门的验收，服务方需提供配置清单所有产品使用说明书、产品检验报告或合格证明书等，验收完成后采购方签字确认。</w:t>
      </w:r>
    </w:p>
    <w:p>
      <w:pPr>
        <w:pStyle w:val="267"/>
        <w:spacing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6、付款方式：合同签订后，服务方按时完成全部工作，系统能正常运行，采购方凭验收单和正式发票60日内转账支付合同价款95%，剩余5%作为履约保证金，在质保期满后60日内无息支付。</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color w:val="auto"/>
          <w:sz w:val="24"/>
          <w:szCs w:val="24"/>
        </w:rPr>
        <w:t>、知识产权</w:t>
      </w:r>
      <w:bookmarkEnd w:id="78"/>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79"/>
      <w:bookmarkEnd w:id="80"/>
      <w:bookmarkEnd w:id="8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3"/>
        <w:jc w:val="center"/>
        <w:rPr>
          <w:color w:val="auto"/>
          <w:sz w:val="44"/>
          <w:szCs w:val="44"/>
        </w:rPr>
      </w:pPr>
      <w:r>
        <w:rPr>
          <w:rFonts w:eastAsia="黑体"/>
          <w:b/>
          <w:color w:val="auto"/>
        </w:rPr>
        <w:br w:type="page"/>
      </w:r>
      <w:bookmarkEnd w:id="70"/>
      <w:bookmarkEnd w:id="71"/>
      <w:bookmarkStart w:id="82" w:name="_Toc14840"/>
      <w:bookmarkStart w:id="83" w:name="_Toc485108794"/>
      <w:bookmarkStart w:id="84" w:name="_Toc403569796"/>
      <w:bookmarkStart w:id="85" w:name="_Toc303945820"/>
      <w:bookmarkStart w:id="86" w:name="_Toc148265480"/>
      <w:r>
        <w:rPr>
          <w:rFonts w:hint="eastAsia" w:ascii="微软雅黑" w:hAnsi="微软雅黑" w:eastAsia="微软雅黑" w:cs="微软雅黑"/>
          <w:b/>
          <w:color w:val="auto"/>
          <w:sz w:val="36"/>
          <w:szCs w:val="36"/>
        </w:rPr>
        <w:t>第五篇  合同草案条款</w:t>
      </w:r>
      <w:bookmarkEnd w:id="82"/>
      <w:bookmarkEnd w:id="83"/>
      <w:bookmarkEnd w:id="84"/>
    </w:p>
    <w:p>
      <w:pPr>
        <w:pStyle w:val="4"/>
        <w:spacing w:line="240" w:lineRule="auto"/>
        <w:rPr>
          <w:rFonts w:hint="eastAsia" w:ascii="微软雅黑" w:hAnsi="微软雅黑" w:eastAsia="微软雅黑" w:cs="微软雅黑"/>
          <w:color w:val="auto"/>
          <w:sz w:val="24"/>
          <w:szCs w:val="24"/>
        </w:rPr>
      </w:pPr>
      <w:bookmarkStart w:id="87" w:name="_Toc30815"/>
      <w:bookmarkStart w:id="88" w:name="_Toc54718202"/>
      <w:r>
        <w:rPr>
          <w:rFonts w:hint="eastAsia" w:ascii="微软雅黑" w:hAnsi="微软雅黑" w:eastAsia="微软雅黑" w:cs="微软雅黑"/>
          <w:color w:val="auto"/>
          <w:sz w:val="24"/>
          <w:szCs w:val="24"/>
        </w:rPr>
        <w:t>一、定义</w:t>
      </w:r>
      <w:bookmarkEnd w:id="87"/>
      <w:bookmarkEnd w:id="88"/>
    </w:p>
    <w:p>
      <w:pPr>
        <w:snapToGrid w:val="0"/>
        <w:spacing w:line="400" w:lineRule="exact"/>
        <w:ind w:firstLine="480" w:firstLineChars="200"/>
        <w:jc w:val="left"/>
        <w:rPr>
          <w:rFonts w:ascii="方正仿宋_GBK" w:hAnsi="宋体" w:eastAsia="方正仿宋_GBK" w:cs="Times New Roman"/>
          <w:color w:val="auto"/>
          <w:sz w:val="24"/>
          <w:szCs w:val="24"/>
        </w:rPr>
      </w:pPr>
      <w:bookmarkStart w:id="89" w:name="_Toc988"/>
      <w:r>
        <w:rPr>
          <w:rFonts w:hint="eastAsia" w:ascii="方正仿宋_GBK" w:hAnsi="宋体" w:eastAsia="方正仿宋_GBK" w:cs="Times New Roman"/>
          <w:color w:val="auto"/>
          <w:sz w:val="24"/>
          <w:szCs w:val="24"/>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3"/>
    </w:p>
    <w:p>
      <w:pPr>
        <w:pStyle w:val="4"/>
        <w:spacing w:line="240" w:lineRule="auto"/>
        <w:rPr>
          <w:rFonts w:hint="eastAsia" w:ascii="微软雅黑" w:hAnsi="微软雅黑" w:eastAsia="微软雅黑" w:cs="微软雅黑"/>
          <w:color w:val="auto"/>
          <w:sz w:val="24"/>
          <w:szCs w:val="24"/>
        </w:rPr>
      </w:pPr>
      <w:bookmarkStart w:id="94" w:name="_Toc54718203"/>
      <w:bookmarkStart w:id="95"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4"/>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8967"/>
      <w:r>
        <w:rPr>
          <w:rFonts w:hint="eastAsia" w:ascii="方正仿宋_GBK" w:hAnsi="宋体" w:eastAsia="方正仿宋_GBK" w:cs="Times New Roman"/>
          <w:color w:val="auto"/>
          <w:sz w:val="24"/>
          <w:szCs w:val="24"/>
        </w:rPr>
        <w:t>合同包括以下内容：</w:t>
      </w:r>
      <w:bookmarkEnd w:id="96"/>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4"/>
        <w:spacing w:line="240" w:lineRule="auto"/>
        <w:rPr>
          <w:rFonts w:hint="eastAsia" w:ascii="微软雅黑" w:hAnsi="微软雅黑" w:eastAsia="微软雅黑" w:cs="微软雅黑"/>
          <w:color w:val="auto"/>
          <w:sz w:val="24"/>
          <w:szCs w:val="24"/>
        </w:rPr>
      </w:pPr>
      <w:bookmarkStart w:id="97" w:name="_Toc54718204"/>
      <w:bookmarkStart w:id="98" w:name="_Toc8853"/>
      <w:r>
        <w:rPr>
          <w:rFonts w:hint="eastAsia" w:ascii="微软雅黑" w:hAnsi="微软雅黑" w:eastAsia="微软雅黑" w:cs="微软雅黑"/>
          <w:color w:val="auto"/>
          <w:sz w:val="24"/>
          <w:szCs w:val="24"/>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5177"/>
      <w:bookmarkStart w:id="10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服务项目单价</w:t>
      </w:r>
      <w:r>
        <w:rPr>
          <w:rFonts w:hint="eastAsia" w:ascii="方正仿宋_GBK" w:hAnsi="宋体" w:eastAsia="方正仿宋_GBK" w:cs="Times New Roman"/>
          <w:color w:val="auto"/>
          <w:sz w:val="24"/>
          <w:szCs w:val="24"/>
        </w:rPr>
        <w:t>。</w:t>
      </w:r>
      <w:bookmarkEnd w:id="99"/>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01"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包含人工费、转运费、处置费、保险费、等各项费用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101"/>
    </w:p>
    <w:p>
      <w:pPr>
        <w:pStyle w:val="4"/>
        <w:spacing w:line="240" w:lineRule="auto"/>
        <w:rPr>
          <w:rFonts w:hint="eastAsia" w:ascii="微软雅黑" w:hAnsi="微软雅黑" w:eastAsia="微软雅黑" w:cs="微软雅黑"/>
          <w:color w:val="auto"/>
          <w:sz w:val="24"/>
          <w:szCs w:val="24"/>
        </w:rPr>
      </w:pPr>
      <w:bookmarkStart w:id="102" w:name="_Toc24410"/>
      <w:r>
        <w:rPr>
          <w:rFonts w:hint="eastAsia" w:ascii="微软雅黑" w:hAnsi="微软雅黑" w:eastAsia="微软雅黑" w:cs="微软雅黑"/>
          <w:color w:val="auto"/>
          <w:sz w:val="24"/>
          <w:szCs w:val="24"/>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5"/>
    </w:p>
    <w:p>
      <w:pPr>
        <w:pStyle w:val="4"/>
        <w:spacing w:line="240" w:lineRule="auto"/>
        <w:rPr>
          <w:rFonts w:hint="eastAsia" w:ascii="微软雅黑" w:hAnsi="微软雅黑" w:eastAsia="微软雅黑" w:cs="微软雅黑"/>
          <w:color w:val="auto"/>
          <w:sz w:val="24"/>
          <w:szCs w:val="24"/>
        </w:rPr>
      </w:pPr>
      <w:bookmarkStart w:id="106" w:name="_Toc54718206"/>
      <w:bookmarkStart w:id="107" w:name="_Toc2241"/>
      <w:r>
        <w:rPr>
          <w:rFonts w:hint="eastAsia" w:ascii="微软雅黑" w:hAnsi="微软雅黑" w:eastAsia="微软雅黑" w:cs="微软雅黑"/>
          <w:color w:val="auto"/>
          <w:sz w:val="24"/>
          <w:szCs w:val="24"/>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8" w:name="_Toc12985"/>
      <w:bookmarkStart w:id="10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9"/>
    </w:p>
    <w:p>
      <w:pPr>
        <w:pStyle w:val="4"/>
        <w:spacing w:line="240" w:lineRule="auto"/>
        <w:rPr>
          <w:rFonts w:hint="eastAsia" w:ascii="微软雅黑" w:hAnsi="微软雅黑" w:eastAsia="微软雅黑" w:cs="微软雅黑"/>
          <w:color w:val="auto"/>
          <w:sz w:val="24"/>
          <w:szCs w:val="24"/>
        </w:rPr>
      </w:pPr>
      <w:bookmarkStart w:id="110" w:name="_Toc9053"/>
      <w:bookmarkStart w:id="111" w:name="_Toc54718207"/>
      <w:r>
        <w:rPr>
          <w:rFonts w:hint="eastAsia" w:ascii="微软雅黑" w:hAnsi="微软雅黑" w:eastAsia="微软雅黑" w:cs="微软雅黑"/>
          <w:color w:val="auto"/>
          <w:sz w:val="24"/>
          <w:szCs w:val="24"/>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3183"/>
      <w:r>
        <w:rPr>
          <w:rFonts w:hint="eastAsia" w:ascii="方正仿宋_GBK" w:hAnsi="宋体" w:eastAsia="方正仿宋_GBK" w:cs="Times New Roman"/>
          <w:color w:val="auto"/>
          <w:sz w:val="24"/>
          <w:szCs w:val="24"/>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880"/>
      <w:r>
        <w:rPr>
          <w:rFonts w:hint="eastAsia" w:ascii="方正仿宋_GBK" w:hAnsi="宋体" w:eastAsia="方正仿宋_GBK" w:cs="Times New Roman"/>
          <w:color w:val="auto"/>
          <w:sz w:val="24"/>
          <w:szCs w:val="24"/>
        </w:rPr>
        <w:t>（二）付款方式：银行转账。</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4"/>
    </w:p>
    <w:p>
      <w:pPr>
        <w:pStyle w:val="4"/>
        <w:spacing w:line="240" w:lineRule="auto"/>
        <w:rPr>
          <w:rFonts w:hint="eastAsia" w:ascii="微软雅黑" w:hAnsi="微软雅黑" w:eastAsia="微软雅黑" w:cs="微软雅黑"/>
          <w:color w:val="auto"/>
          <w:sz w:val="24"/>
          <w:szCs w:val="24"/>
        </w:rPr>
      </w:pPr>
      <w:bookmarkStart w:id="115" w:name="_Toc54718211"/>
      <w:bookmarkStart w:id="11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5382"/>
      <w:r>
        <w:rPr>
          <w:rFonts w:hint="eastAsia" w:ascii="方正仿宋_GBK" w:hAnsi="宋体" w:eastAsia="方正仿宋_GBK" w:cs="Times New Roman"/>
          <w:color w:val="auto"/>
          <w:sz w:val="24"/>
          <w:szCs w:val="24"/>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9926"/>
      <w:r>
        <w:rPr>
          <w:rFonts w:hint="eastAsia" w:ascii="方正仿宋_GBK" w:hAnsi="宋体" w:eastAsia="方正仿宋_GBK" w:cs="Times New Roman"/>
          <w:color w:val="auto"/>
          <w:sz w:val="24"/>
          <w:szCs w:val="24"/>
        </w:rPr>
        <w:t>（二）</w:t>
      </w:r>
      <w:bookmarkEnd w:id="118"/>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9" w:name="_Toc54718210"/>
      <w:bookmarkStart w:id="120" w:name="_Toc31719"/>
      <w:bookmarkStart w:id="121" w:name="_Toc54718212"/>
      <w:bookmarkStart w:id="122"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9"/>
      <w:bookmarkEnd w:id="120"/>
    </w:p>
    <w:p>
      <w:pPr>
        <w:snapToGrid w:val="0"/>
        <w:spacing w:line="400" w:lineRule="exact"/>
        <w:ind w:firstLine="480" w:firstLineChars="200"/>
        <w:rPr>
          <w:rFonts w:hint="eastAsia" w:ascii="方正仿宋_GBK" w:hAnsi="宋体" w:eastAsia="方正仿宋_GBK"/>
          <w:color w:val="auto"/>
          <w:sz w:val="24"/>
          <w:szCs w:val="24"/>
        </w:rPr>
      </w:pPr>
      <w:bookmarkStart w:id="123"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4" w:name="_Toc17287"/>
      <w:r>
        <w:rPr>
          <w:rFonts w:hint="eastAsia" w:ascii="方正仿宋_GBK" w:hAnsi="宋体" w:eastAsia="方正仿宋_GBK"/>
          <w:color w:val="auto"/>
          <w:sz w:val="24"/>
          <w:szCs w:val="24"/>
        </w:rPr>
        <w:t>（二）若涉及软件开发等服务类项目知识产权的，知识产权归医院所有。</w:t>
      </w:r>
      <w:bookmarkEnd w:id="124"/>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5"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4"/>
        <w:spacing w:line="240" w:lineRule="auto"/>
        <w:rPr>
          <w:rFonts w:hint="eastAsia" w:ascii="微软雅黑" w:hAnsi="微软雅黑" w:eastAsia="微软雅黑" w:cs="微软雅黑"/>
          <w:color w:val="auto"/>
          <w:sz w:val="24"/>
          <w:szCs w:val="24"/>
        </w:rPr>
      </w:pPr>
      <w:bookmarkStart w:id="126"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7071"/>
      <w:r>
        <w:rPr>
          <w:rFonts w:hint="eastAsia" w:ascii="方正仿宋_GBK" w:hAnsi="宋体" w:eastAsia="方正仿宋_GBK" w:cs="Times New Roman"/>
          <w:color w:val="auto"/>
          <w:sz w:val="24"/>
          <w:szCs w:val="24"/>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233"/>
      <w:r>
        <w:rPr>
          <w:rFonts w:hint="eastAsia" w:ascii="方正仿宋_GBK" w:hAnsi="宋体" w:eastAsia="方正仿宋_GBK" w:cs="Times New Roman"/>
          <w:color w:val="auto"/>
          <w:sz w:val="24"/>
          <w:szCs w:val="24"/>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3"/>
        <w:jc w:val="center"/>
        <w:rPr>
          <w:rFonts w:hint="eastAsia" w:ascii="微软雅黑" w:hAnsi="微软雅黑" w:eastAsia="微软雅黑" w:cs="微软雅黑"/>
          <w:b/>
          <w:color w:val="auto"/>
          <w:sz w:val="36"/>
          <w:szCs w:val="36"/>
        </w:rPr>
      </w:pPr>
      <w:bookmarkStart w:id="132" w:name="_Hlt41879464"/>
      <w:bookmarkEnd w:id="132"/>
      <w:bookmarkStart w:id="133" w:name="_Toc12789072"/>
      <w:bookmarkStart w:id="134" w:name="_Toc485108795"/>
      <w:bookmarkStart w:id="135" w:name="_Toc13696"/>
      <w:r>
        <w:rPr>
          <w:rFonts w:hint="eastAsia" w:ascii="微软雅黑" w:hAnsi="微软雅黑" w:eastAsia="微软雅黑" w:cs="微软雅黑"/>
          <w:b/>
          <w:color w:val="auto"/>
          <w:sz w:val="36"/>
          <w:szCs w:val="36"/>
        </w:rPr>
        <w:t>第六篇  响应文件格式要求</w:t>
      </w:r>
      <w:bookmarkEnd w:id="133"/>
      <w:bookmarkEnd w:id="134"/>
      <w:bookmarkEnd w:id="135"/>
    </w:p>
    <w:p>
      <w:pPr>
        <w:pStyle w:val="4"/>
        <w:spacing w:line="240" w:lineRule="auto"/>
        <w:rPr>
          <w:rFonts w:hint="eastAsia" w:ascii="微软雅黑" w:hAnsi="微软雅黑" w:eastAsia="微软雅黑" w:cs="微软雅黑"/>
          <w:color w:val="auto"/>
          <w:sz w:val="24"/>
          <w:szCs w:val="24"/>
        </w:rPr>
      </w:pPr>
      <w:bookmarkStart w:id="136" w:name="_Toc27382"/>
      <w:r>
        <w:rPr>
          <w:rFonts w:hint="eastAsia" w:ascii="微软雅黑" w:hAnsi="微软雅黑" w:eastAsia="微软雅黑" w:cs="微软雅黑"/>
          <w:color w:val="auto"/>
          <w:sz w:val="24"/>
          <w:szCs w:val="24"/>
        </w:rPr>
        <w:t>一、经济部分</w:t>
      </w:r>
      <w:bookmarkEnd w:id="136"/>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4"/>
        <w:spacing w:line="240" w:lineRule="auto"/>
        <w:rPr>
          <w:rFonts w:hint="eastAsia" w:ascii="微软雅黑" w:hAnsi="微软雅黑" w:eastAsia="微软雅黑" w:cs="微软雅黑"/>
          <w:color w:val="auto"/>
          <w:sz w:val="24"/>
          <w:szCs w:val="24"/>
        </w:rPr>
      </w:pPr>
      <w:bookmarkStart w:id="137" w:name="_Toc6305"/>
      <w:r>
        <w:rPr>
          <w:rFonts w:hint="eastAsia" w:ascii="微软雅黑" w:hAnsi="微软雅黑" w:eastAsia="微软雅黑" w:cs="微软雅黑"/>
          <w:color w:val="auto"/>
          <w:sz w:val="24"/>
          <w:szCs w:val="24"/>
        </w:rPr>
        <w:t>二、服务部分</w:t>
      </w:r>
      <w:bookmarkEnd w:id="137"/>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4"/>
        <w:spacing w:line="240" w:lineRule="auto"/>
        <w:rPr>
          <w:rFonts w:hint="eastAsia" w:ascii="微软雅黑" w:hAnsi="微软雅黑" w:eastAsia="微软雅黑" w:cs="微软雅黑"/>
          <w:color w:val="auto"/>
          <w:sz w:val="24"/>
          <w:szCs w:val="24"/>
        </w:rPr>
      </w:pPr>
      <w:bookmarkStart w:id="138" w:name="_Toc7207"/>
      <w:r>
        <w:rPr>
          <w:rFonts w:hint="eastAsia" w:ascii="微软雅黑" w:hAnsi="微软雅黑" w:eastAsia="微软雅黑" w:cs="微软雅黑"/>
          <w:color w:val="auto"/>
          <w:sz w:val="24"/>
          <w:szCs w:val="24"/>
        </w:rPr>
        <w:t>三、商务部分</w:t>
      </w:r>
      <w:bookmarkEnd w:id="138"/>
    </w:p>
    <w:p>
      <w:pPr>
        <w:snapToGrid w:val="0"/>
        <w:spacing w:line="360" w:lineRule="auto"/>
        <w:ind w:firstLine="480" w:firstLineChars="200"/>
        <w:rPr>
          <w:rFonts w:hint="eastAsia" w:ascii="微软雅黑" w:hAnsi="微软雅黑" w:eastAsia="微软雅黑" w:cs="微软雅黑"/>
          <w:color w:val="auto"/>
          <w:sz w:val="24"/>
          <w:szCs w:val="24"/>
        </w:rPr>
      </w:pPr>
      <w:bookmarkStart w:id="139" w:name="_Toc38358147"/>
      <w:bookmarkStart w:id="140" w:name="OLE_LINK10"/>
      <w:bookmarkStart w:id="141" w:name="OLE_LINK11"/>
      <w:r>
        <w:rPr>
          <w:rFonts w:hint="eastAsia" w:ascii="微软雅黑" w:hAnsi="微软雅黑" w:eastAsia="微软雅黑" w:cs="微软雅黑"/>
          <w:color w:val="auto"/>
          <w:sz w:val="24"/>
          <w:szCs w:val="24"/>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4"/>
        <w:spacing w:line="240" w:lineRule="auto"/>
        <w:rPr>
          <w:rFonts w:hint="eastAsia" w:ascii="微软雅黑" w:hAnsi="微软雅黑" w:eastAsia="微软雅黑" w:cs="微软雅黑"/>
          <w:color w:val="auto"/>
          <w:sz w:val="24"/>
          <w:szCs w:val="24"/>
        </w:rPr>
      </w:pPr>
      <w:bookmarkStart w:id="142" w:name="_Toc18417"/>
      <w:r>
        <w:rPr>
          <w:rFonts w:hint="eastAsia" w:ascii="微软雅黑" w:hAnsi="微软雅黑" w:eastAsia="微软雅黑" w:cs="微软雅黑"/>
          <w:color w:val="auto"/>
          <w:sz w:val="24"/>
          <w:szCs w:val="24"/>
        </w:rPr>
        <w:t>四、资格条件及其他</w:t>
      </w:r>
      <w:bookmarkEnd w:id="14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4"/>
        <w:spacing w:line="240" w:lineRule="auto"/>
        <w:rPr>
          <w:rFonts w:hint="eastAsia" w:ascii="微软雅黑" w:hAnsi="微软雅黑" w:eastAsia="微软雅黑" w:cs="微软雅黑"/>
          <w:color w:val="auto"/>
          <w:sz w:val="24"/>
          <w:szCs w:val="24"/>
        </w:rPr>
      </w:pPr>
      <w:bookmarkStart w:id="143" w:name="_Toc19884"/>
      <w:r>
        <w:rPr>
          <w:rFonts w:hint="eastAsia" w:ascii="微软雅黑" w:hAnsi="微软雅黑" w:eastAsia="微软雅黑" w:cs="微软雅黑"/>
          <w:color w:val="auto"/>
          <w:sz w:val="24"/>
          <w:szCs w:val="24"/>
        </w:rPr>
        <w:t>五、其他应提供的资料</w:t>
      </w:r>
      <w:bookmarkEnd w:id="143"/>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0"/>
    <w:bookmarkEnd w:id="141"/>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44" w:name="_Toc480979018"/>
      <w:bookmarkStart w:id="145" w:name="_Toc342913419"/>
      <w:bookmarkStart w:id="146" w:name="_Toc485108796"/>
      <w:bookmarkStart w:id="147" w:name="_Toc313888360"/>
      <w:bookmarkStart w:id="148" w:name="_Toc313008356"/>
      <w:bookmarkStart w:id="149" w:name="_Toc283382454"/>
      <w:bookmarkStart w:id="150" w:name="_Toc12789073"/>
      <w:r>
        <w:rPr>
          <w:rFonts w:hint="eastAsia"/>
          <w:b/>
          <w:color w:val="auto"/>
        </w:rPr>
        <w:t>经济部分</w:t>
      </w:r>
      <w:bookmarkEnd w:id="144"/>
      <w:bookmarkEnd w:id="145"/>
      <w:bookmarkEnd w:id="146"/>
      <w:bookmarkEnd w:id="147"/>
      <w:bookmarkEnd w:id="148"/>
    </w:p>
    <w:p>
      <w:pPr>
        <w:pStyle w:val="180"/>
        <w:ind w:left="450" w:firstLine="0" w:firstLineChars="0"/>
        <w:rPr>
          <w:b/>
          <w:color w:val="auto"/>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FF0000"/>
          <w:sz w:val="32"/>
          <w:szCs w:val="32"/>
        </w:rPr>
      </w:pPr>
      <w:r>
        <w:rPr>
          <w:rFonts w:hint="eastAsia" w:ascii="黑体" w:hAnsi="黑体" w:eastAsia="黑体"/>
          <w:color w:val="FF0000"/>
          <w:sz w:val="32"/>
          <w:szCs w:val="32"/>
        </w:rPr>
        <w:t>报 价 表</w:t>
      </w:r>
    </w:p>
    <w:tbl>
      <w:tblPr>
        <w:tblStyle w:val="58"/>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988"/>
        <w:gridCol w:w="709"/>
        <w:gridCol w:w="738"/>
        <w:gridCol w:w="1429"/>
        <w:gridCol w:w="791"/>
        <w:gridCol w:w="1205"/>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名称</w:t>
            </w:r>
          </w:p>
        </w:tc>
        <w:tc>
          <w:tcPr>
            <w:tcW w:w="988"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品牌</w:t>
            </w:r>
          </w:p>
        </w:tc>
        <w:tc>
          <w:tcPr>
            <w:tcW w:w="709"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型号</w:t>
            </w:r>
          </w:p>
        </w:tc>
        <w:tc>
          <w:tcPr>
            <w:tcW w:w="738"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厂家</w:t>
            </w:r>
          </w:p>
        </w:tc>
        <w:tc>
          <w:tcPr>
            <w:tcW w:w="1429"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位置</w:t>
            </w:r>
          </w:p>
        </w:tc>
        <w:tc>
          <w:tcPr>
            <w:tcW w:w="791"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数量</w:t>
            </w:r>
          </w:p>
        </w:tc>
        <w:tc>
          <w:tcPr>
            <w:tcW w:w="1205"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单价</w:t>
            </w:r>
          </w:p>
        </w:tc>
        <w:tc>
          <w:tcPr>
            <w:tcW w:w="1308" w:type="dxa"/>
            <w:vAlign w:val="center"/>
          </w:tcPr>
          <w:p>
            <w:pPr>
              <w:spacing w:line="500" w:lineRule="exact"/>
              <w:jc w:val="center"/>
              <w:rPr>
                <w:rFonts w:ascii="宋体" w:hAnsi="宋体" w:cs="宋体"/>
                <w:color w:val="FF0000"/>
                <w:sz w:val="24"/>
              </w:rPr>
            </w:pPr>
            <w:r>
              <w:rPr>
                <w:rFonts w:hint="eastAsia" w:ascii="宋体" w:hAnsi="宋体" w:cs="宋体"/>
                <w:color w:val="FF0000"/>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snapToGrid w:val="0"/>
                <w:color w:val="FF0000"/>
                <w:sz w:val="24"/>
              </w:rPr>
            </w:pPr>
            <w:r>
              <w:rPr>
                <w:rFonts w:hint="eastAsia" w:ascii="宋体" w:hAnsi="宋体" w:cs="宋体"/>
                <w:color w:val="FF0000"/>
                <w:sz w:val="24"/>
              </w:rPr>
              <w:t>红外半球</w:t>
            </w:r>
          </w:p>
        </w:tc>
        <w:tc>
          <w:tcPr>
            <w:tcW w:w="988" w:type="dxa"/>
            <w:vAlign w:val="center"/>
          </w:tcPr>
          <w:p>
            <w:pPr>
              <w:spacing w:before="132" w:line="219" w:lineRule="auto"/>
              <w:rPr>
                <w:rFonts w:ascii="宋体" w:hAnsi="宋体" w:cs="宋体"/>
                <w:snapToGrid w:val="0"/>
                <w:color w:val="FF0000"/>
                <w:sz w:val="24"/>
              </w:rPr>
            </w:pPr>
          </w:p>
        </w:tc>
        <w:tc>
          <w:tcPr>
            <w:tcW w:w="709" w:type="dxa"/>
            <w:vAlign w:val="center"/>
          </w:tcPr>
          <w:p>
            <w:pPr>
              <w:spacing w:before="132" w:line="219" w:lineRule="auto"/>
              <w:rPr>
                <w:rFonts w:ascii="宋体" w:hAnsi="宋体" w:cs="宋体"/>
                <w:snapToGrid w:val="0"/>
                <w:color w:val="FF0000"/>
                <w:sz w:val="24"/>
              </w:rPr>
            </w:pPr>
          </w:p>
        </w:tc>
        <w:tc>
          <w:tcPr>
            <w:tcW w:w="738" w:type="dxa"/>
            <w:vAlign w:val="center"/>
          </w:tcPr>
          <w:p>
            <w:pPr>
              <w:spacing w:before="132" w:line="219" w:lineRule="auto"/>
              <w:rPr>
                <w:rFonts w:ascii="宋体" w:hAnsi="宋体" w:cs="宋体"/>
                <w:snapToGrid w:val="0"/>
                <w:color w:val="FF0000"/>
                <w:sz w:val="24"/>
              </w:rPr>
            </w:pPr>
          </w:p>
        </w:tc>
        <w:tc>
          <w:tcPr>
            <w:tcW w:w="1429" w:type="dxa"/>
            <w:vAlign w:val="center"/>
          </w:tcPr>
          <w:p>
            <w:pPr>
              <w:spacing w:before="132" w:line="219" w:lineRule="auto"/>
              <w:rPr>
                <w:rFonts w:ascii="宋体" w:hAnsi="宋体" w:cs="宋体"/>
                <w:color w:val="FF0000"/>
                <w:sz w:val="24"/>
              </w:rPr>
            </w:pPr>
            <w:r>
              <w:rPr>
                <w:rFonts w:hint="eastAsia" w:ascii="宋体" w:hAnsi="宋体" w:cs="宋体"/>
                <w:color w:val="FF0000"/>
                <w:sz w:val="24"/>
              </w:rPr>
              <w:t>监测站房</w:t>
            </w:r>
          </w:p>
        </w:tc>
        <w:tc>
          <w:tcPr>
            <w:tcW w:w="791" w:type="dxa"/>
            <w:vAlign w:val="center"/>
          </w:tcPr>
          <w:p>
            <w:pPr>
              <w:spacing w:before="175" w:line="219" w:lineRule="auto"/>
              <w:jc w:val="center"/>
              <w:rPr>
                <w:rFonts w:ascii="宋体" w:hAnsi="宋体" w:cs="宋体"/>
                <w:color w:val="FF0000"/>
                <w:sz w:val="24"/>
              </w:rPr>
            </w:pPr>
            <w:r>
              <w:rPr>
                <w:rFonts w:hint="eastAsia" w:ascii="宋体" w:hAnsi="宋体" w:cs="宋体"/>
                <w:color w:val="FF0000"/>
                <w:sz w:val="24"/>
              </w:rPr>
              <w:t>1台</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6" w:line="220" w:lineRule="auto"/>
              <w:ind w:left="8"/>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FF0000"/>
                <w:sz w:val="24"/>
              </w:rPr>
            </w:pPr>
            <w:r>
              <w:rPr>
                <w:rFonts w:hint="eastAsia" w:ascii="宋体" w:hAnsi="宋体" w:cs="宋体"/>
                <w:color w:val="FF0000"/>
                <w:sz w:val="24"/>
              </w:rPr>
              <w:t>红外一体机</w:t>
            </w:r>
          </w:p>
        </w:tc>
        <w:tc>
          <w:tcPr>
            <w:tcW w:w="988" w:type="dxa"/>
            <w:vAlign w:val="center"/>
          </w:tcPr>
          <w:p>
            <w:pPr>
              <w:spacing w:before="132" w:line="219" w:lineRule="auto"/>
              <w:rPr>
                <w:rFonts w:ascii="宋体" w:hAnsi="宋体" w:cs="宋体"/>
                <w:color w:val="FF0000"/>
                <w:sz w:val="24"/>
              </w:rPr>
            </w:pPr>
          </w:p>
        </w:tc>
        <w:tc>
          <w:tcPr>
            <w:tcW w:w="709" w:type="dxa"/>
            <w:vAlign w:val="center"/>
          </w:tcPr>
          <w:p>
            <w:pPr>
              <w:spacing w:before="132" w:line="219" w:lineRule="auto"/>
              <w:rPr>
                <w:rFonts w:ascii="宋体" w:hAnsi="宋体" w:cs="宋体"/>
                <w:color w:val="FF0000"/>
                <w:sz w:val="24"/>
              </w:rPr>
            </w:pPr>
          </w:p>
        </w:tc>
        <w:tc>
          <w:tcPr>
            <w:tcW w:w="738" w:type="dxa"/>
            <w:vAlign w:val="center"/>
          </w:tcPr>
          <w:p>
            <w:pPr>
              <w:spacing w:before="132" w:line="219" w:lineRule="auto"/>
              <w:rPr>
                <w:rFonts w:ascii="宋体" w:hAnsi="宋体" w:cs="宋体"/>
                <w:color w:val="FF0000"/>
                <w:sz w:val="24"/>
              </w:rPr>
            </w:pPr>
          </w:p>
        </w:tc>
        <w:tc>
          <w:tcPr>
            <w:tcW w:w="1429" w:type="dxa"/>
            <w:vAlign w:val="center"/>
          </w:tcPr>
          <w:p>
            <w:pPr>
              <w:spacing w:before="132" w:line="219" w:lineRule="auto"/>
              <w:rPr>
                <w:rFonts w:ascii="宋体" w:hAnsi="宋体" w:cs="宋体"/>
                <w:color w:val="FF0000"/>
                <w:sz w:val="24"/>
              </w:rPr>
            </w:pPr>
            <w:r>
              <w:rPr>
                <w:rFonts w:hint="eastAsia" w:ascii="宋体" w:hAnsi="宋体" w:cs="宋体"/>
                <w:color w:val="FF0000"/>
                <w:sz w:val="24"/>
              </w:rPr>
              <w:t>进水口、风机房、采样口和排水口</w:t>
            </w:r>
          </w:p>
        </w:tc>
        <w:tc>
          <w:tcPr>
            <w:tcW w:w="791" w:type="dxa"/>
            <w:vAlign w:val="center"/>
          </w:tcPr>
          <w:p>
            <w:pPr>
              <w:spacing w:before="173" w:line="218" w:lineRule="auto"/>
              <w:jc w:val="center"/>
              <w:rPr>
                <w:rFonts w:ascii="宋体" w:hAnsi="宋体" w:cs="宋体"/>
                <w:color w:val="FF0000"/>
                <w:sz w:val="24"/>
              </w:rPr>
            </w:pPr>
            <w:r>
              <w:rPr>
                <w:rFonts w:hint="eastAsia" w:ascii="宋体" w:hAnsi="宋体" w:cs="宋体"/>
                <w:color w:val="FF0000"/>
                <w:sz w:val="24"/>
              </w:rPr>
              <w:t>3台</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3" w:line="218" w:lineRule="auto"/>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FF0000"/>
                <w:sz w:val="24"/>
              </w:rPr>
            </w:pPr>
            <w:r>
              <w:rPr>
                <w:rFonts w:hint="eastAsia" w:ascii="宋体" w:hAnsi="宋体" w:cs="宋体"/>
                <w:color w:val="FF0000"/>
                <w:sz w:val="24"/>
              </w:rPr>
              <w:t>红外智能球机</w:t>
            </w:r>
          </w:p>
        </w:tc>
        <w:tc>
          <w:tcPr>
            <w:tcW w:w="988" w:type="dxa"/>
            <w:vAlign w:val="center"/>
          </w:tcPr>
          <w:p>
            <w:pPr>
              <w:spacing w:before="132" w:line="219" w:lineRule="auto"/>
              <w:rPr>
                <w:rFonts w:ascii="宋体" w:hAnsi="宋体" w:cs="宋体"/>
                <w:color w:val="FF0000"/>
                <w:sz w:val="24"/>
              </w:rPr>
            </w:pPr>
          </w:p>
        </w:tc>
        <w:tc>
          <w:tcPr>
            <w:tcW w:w="709" w:type="dxa"/>
            <w:vAlign w:val="center"/>
          </w:tcPr>
          <w:p>
            <w:pPr>
              <w:spacing w:before="132" w:line="219" w:lineRule="auto"/>
              <w:rPr>
                <w:rFonts w:ascii="宋体" w:hAnsi="宋体" w:cs="宋体"/>
                <w:color w:val="FF0000"/>
                <w:sz w:val="24"/>
              </w:rPr>
            </w:pPr>
          </w:p>
        </w:tc>
        <w:tc>
          <w:tcPr>
            <w:tcW w:w="738" w:type="dxa"/>
            <w:vAlign w:val="center"/>
          </w:tcPr>
          <w:p>
            <w:pPr>
              <w:spacing w:before="132" w:line="219" w:lineRule="auto"/>
              <w:rPr>
                <w:rFonts w:ascii="宋体" w:hAnsi="宋体" w:cs="宋体"/>
                <w:color w:val="FF0000"/>
                <w:sz w:val="24"/>
              </w:rPr>
            </w:pPr>
          </w:p>
        </w:tc>
        <w:tc>
          <w:tcPr>
            <w:tcW w:w="1429" w:type="dxa"/>
            <w:vAlign w:val="center"/>
          </w:tcPr>
          <w:p>
            <w:pPr>
              <w:spacing w:before="132" w:line="219" w:lineRule="auto"/>
              <w:rPr>
                <w:rFonts w:ascii="宋体" w:hAnsi="宋体" w:cs="宋体"/>
                <w:color w:val="FF0000"/>
                <w:sz w:val="24"/>
              </w:rPr>
            </w:pPr>
            <w:r>
              <w:rPr>
                <w:rFonts w:hint="eastAsia" w:ascii="宋体" w:hAnsi="宋体" w:cs="宋体"/>
                <w:color w:val="FF0000"/>
                <w:sz w:val="24"/>
              </w:rPr>
              <w:t>加药间</w:t>
            </w:r>
          </w:p>
        </w:tc>
        <w:tc>
          <w:tcPr>
            <w:tcW w:w="791" w:type="dxa"/>
            <w:vAlign w:val="center"/>
          </w:tcPr>
          <w:p>
            <w:pPr>
              <w:spacing w:before="173" w:line="218" w:lineRule="auto"/>
              <w:jc w:val="center"/>
              <w:rPr>
                <w:rFonts w:ascii="宋体" w:hAnsi="宋体" w:cs="宋体"/>
                <w:color w:val="FF0000"/>
                <w:sz w:val="24"/>
              </w:rPr>
            </w:pPr>
            <w:r>
              <w:rPr>
                <w:rFonts w:hint="eastAsia" w:ascii="宋体" w:hAnsi="宋体" w:cs="宋体"/>
                <w:color w:val="FF0000"/>
                <w:sz w:val="24"/>
              </w:rPr>
              <w:t>1台</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3" w:line="218" w:lineRule="auto"/>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FF0000"/>
                <w:sz w:val="24"/>
              </w:rPr>
            </w:pPr>
            <w:r>
              <w:rPr>
                <w:rFonts w:hint="eastAsia" w:ascii="宋体" w:hAnsi="宋体" w:cs="宋体"/>
                <w:color w:val="FF0000"/>
                <w:sz w:val="24"/>
              </w:rPr>
              <w:t>NVR存储联网设备</w:t>
            </w:r>
          </w:p>
        </w:tc>
        <w:tc>
          <w:tcPr>
            <w:tcW w:w="988" w:type="dxa"/>
            <w:vAlign w:val="center"/>
          </w:tcPr>
          <w:p>
            <w:pPr>
              <w:spacing w:before="132" w:line="219" w:lineRule="auto"/>
              <w:rPr>
                <w:rFonts w:ascii="宋体" w:hAnsi="宋体" w:cs="宋体"/>
                <w:color w:val="FF0000"/>
                <w:sz w:val="24"/>
              </w:rPr>
            </w:pPr>
          </w:p>
        </w:tc>
        <w:tc>
          <w:tcPr>
            <w:tcW w:w="709" w:type="dxa"/>
            <w:vAlign w:val="center"/>
          </w:tcPr>
          <w:p>
            <w:pPr>
              <w:spacing w:before="132" w:line="219" w:lineRule="auto"/>
              <w:rPr>
                <w:rFonts w:ascii="宋体" w:hAnsi="宋体" w:cs="宋体"/>
                <w:color w:val="FF0000"/>
                <w:sz w:val="24"/>
              </w:rPr>
            </w:pPr>
          </w:p>
        </w:tc>
        <w:tc>
          <w:tcPr>
            <w:tcW w:w="738" w:type="dxa"/>
            <w:vAlign w:val="center"/>
          </w:tcPr>
          <w:p>
            <w:pPr>
              <w:spacing w:before="132" w:line="219" w:lineRule="auto"/>
              <w:rPr>
                <w:rFonts w:ascii="宋体" w:hAnsi="宋体" w:cs="宋体"/>
                <w:color w:val="FF0000"/>
                <w:sz w:val="24"/>
              </w:rPr>
            </w:pPr>
          </w:p>
        </w:tc>
        <w:tc>
          <w:tcPr>
            <w:tcW w:w="1429" w:type="dxa"/>
            <w:vAlign w:val="center"/>
          </w:tcPr>
          <w:p>
            <w:pPr>
              <w:spacing w:before="132" w:line="219" w:lineRule="auto"/>
              <w:rPr>
                <w:rFonts w:ascii="宋体" w:hAnsi="宋体" w:cs="宋体"/>
                <w:color w:val="FF0000"/>
                <w:sz w:val="24"/>
              </w:rPr>
            </w:pPr>
            <w:r>
              <w:rPr>
                <w:rFonts w:hint="eastAsia" w:ascii="宋体" w:hAnsi="宋体" w:cs="宋体"/>
                <w:color w:val="FF0000"/>
                <w:sz w:val="24"/>
              </w:rPr>
              <w:t>办公室</w:t>
            </w:r>
          </w:p>
        </w:tc>
        <w:tc>
          <w:tcPr>
            <w:tcW w:w="791" w:type="dxa"/>
            <w:vAlign w:val="center"/>
          </w:tcPr>
          <w:p>
            <w:pPr>
              <w:spacing w:before="173" w:line="218" w:lineRule="auto"/>
              <w:jc w:val="center"/>
              <w:rPr>
                <w:rFonts w:ascii="宋体" w:hAnsi="宋体" w:cs="宋体"/>
                <w:color w:val="FF0000"/>
                <w:sz w:val="24"/>
              </w:rPr>
            </w:pPr>
            <w:r>
              <w:rPr>
                <w:rFonts w:hint="eastAsia" w:ascii="宋体" w:hAnsi="宋体" w:cs="宋体"/>
                <w:color w:val="FF0000"/>
                <w:sz w:val="24"/>
              </w:rPr>
              <w:t>1套</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3" w:line="218" w:lineRule="auto"/>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FF0000"/>
                <w:sz w:val="24"/>
              </w:rPr>
            </w:pPr>
            <w:r>
              <w:rPr>
                <w:rFonts w:hint="eastAsia" w:ascii="宋体" w:hAnsi="宋体" w:cs="宋体"/>
                <w:color w:val="FF0000"/>
                <w:sz w:val="24"/>
              </w:rPr>
              <w:t>显示器</w:t>
            </w:r>
          </w:p>
        </w:tc>
        <w:tc>
          <w:tcPr>
            <w:tcW w:w="988" w:type="dxa"/>
            <w:vAlign w:val="center"/>
          </w:tcPr>
          <w:p>
            <w:pPr>
              <w:spacing w:before="132" w:line="219" w:lineRule="auto"/>
              <w:rPr>
                <w:rFonts w:ascii="宋体" w:hAnsi="宋体" w:cs="宋体"/>
                <w:color w:val="FF0000"/>
                <w:sz w:val="24"/>
              </w:rPr>
            </w:pPr>
          </w:p>
        </w:tc>
        <w:tc>
          <w:tcPr>
            <w:tcW w:w="709" w:type="dxa"/>
            <w:vAlign w:val="center"/>
          </w:tcPr>
          <w:p>
            <w:pPr>
              <w:spacing w:before="132" w:line="219" w:lineRule="auto"/>
              <w:rPr>
                <w:rFonts w:ascii="宋体" w:hAnsi="宋体" w:cs="宋体"/>
                <w:color w:val="FF0000"/>
                <w:sz w:val="24"/>
              </w:rPr>
            </w:pPr>
          </w:p>
        </w:tc>
        <w:tc>
          <w:tcPr>
            <w:tcW w:w="738" w:type="dxa"/>
            <w:vAlign w:val="center"/>
          </w:tcPr>
          <w:p>
            <w:pPr>
              <w:spacing w:before="132" w:line="219" w:lineRule="auto"/>
              <w:rPr>
                <w:rFonts w:ascii="宋体" w:hAnsi="宋体" w:cs="宋体"/>
                <w:color w:val="FF0000"/>
                <w:sz w:val="24"/>
              </w:rPr>
            </w:pPr>
          </w:p>
        </w:tc>
        <w:tc>
          <w:tcPr>
            <w:tcW w:w="1429" w:type="dxa"/>
            <w:vAlign w:val="center"/>
          </w:tcPr>
          <w:p>
            <w:pPr>
              <w:spacing w:before="132" w:line="219" w:lineRule="auto"/>
              <w:rPr>
                <w:rFonts w:ascii="宋体" w:hAnsi="宋体" w:cs="宋体"/>
                <w:color w:val="FF0000"/>
                <w:sz w:val="24"/>
              </w:rPr>
            </w:pPr>
            <w:r>
              <w:rPr>
                <w:rFonts w:hint="eastAsia" w:ascii="宋体" w:hAnsi="宋体" w:cs="宋体"/>
                <w:color w:val="FF0000"/>
                <w:sz w:val="24"/>
              </w:rPr>
              <w:t>办公室</w:t>
            </w:r>
          </w:p>
        </w:tc>
        <w:tc>
          <w:tcPr>
            <w:tcW w:w="791" w:type="dxa"/>
            <w:vAlign w:val="center"/>
          </w:tcPr>
          <w:p>
            <w:pPr>
              <w:spacing w:before="173" w:line="218" w:lineRule="auto"/>
              <w:jc w:val="center"/>
              <w:rPr>
                <w:rFonts w:ascii="宋体" w:hAnsi="宋体" w:cs="宋体"/>
                <w:color w:val="FF0000"/>
                <w:sz w:val="24"/>
              </w:rPr>
            </w:pPr>
            <w:r>
              <w:rPr>
                <w:rFonts w:hint="eastAsia" w:ascii="宋体" w:hAnsi="宋体" w:cs="宋体"/>
                <w:color w:val="FF0000"/>
                <w:sz w:val="24"/>
              </w:rPr>
              <w:t>1台</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3" w:line="218" w:lineRule="auto"/>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FF0000"/>
                <w:sz w:val="24"/>
              </w:rPr>
            </w:pPr>
            <w:r>
              <w:rPr>
                <w:rFonts w:hint="eastAsia" w:ascii="宋体" w:hAnsi="宋体" w:cs="宋体"/>
                <w:color w:val="FF0000"/>
                <w:sz w:val="24"/>
              </w:rPr>
              <w:t>设备安装调试服务</w:t>
            </w:r>
          </w:p>
        </w:tc>
        <w:tc>
          <w:tcPr>
            <w:tcW w:w="3864" w:type="dxa"/>
            <w:gridSpan w:val="4"/>
            <w:vAlign w:val="center"/>
          </w:tcPr>
          <w:p>
            <w:pPr>
              <w:spacing w:before="132" w:line="219" w:lineRule="auto"/>
              <w:rPr>
                <w:rFonts w:ascii="宋体" w:hAnsi="宋体" w:cs="宋体"/>
                <w:color w:val="FF0000"/>
                <w:sz w:val="24"/>
              </w:rPr>
            </w:pPr>
            <w:r>
              <w:rPr>
                <w:rFonts w:hint="eastAsia" w:ascii="宋体" w:hAnsi="宋体" w:cs="宋体"/>
                <w:color w:val="FF0000"/>
                <w:sz w:val="24"/>
              </w:rPr>
              <w:t>包括综合布线、设备安装、联网调试等</w:t>
            </w:r>
          </w:p>
        </w:tc>
        <w:tc>
          <w:tcPr>
            <w:tcW w:w="791" w:type="dxa"/>
            <w:vAlign w:val="center"/>
          </w:tcPr>
          <w:p>
            <w:pPr>
              <w:spacing w:before="173" w:line="218" w:lineRule="auto"/>
              <w:jc w:val="center"/>
              <w:rPr>
                <w:rFonts w:ascii="宋体" w:hAnsi="宋体" w:cs="宋体"/>
                <w:color w:val="FF0000"/>
                <w:sz w:val="24"/>
              </w:rPr>
            </w:pPr>
            <w:r>
              <w:rPr>
                <w:rFonts w:hint="eastAsia" w:ascii="宋体" w:hAnsi="宋体" w:cs="宋体"/>
                <w:color w:val="FF0000"/>
                <w:sz w:val="24"/>
              </w:rPr>
              <w:t>1项</w:t>
            </w:r>
          </w:p>
        </w:tc>
        <w:tc>
          <w:tcPr>
            <w:tcW w:w="1205" w:type="dxa"/>
            <w:vAlign w:val="center"/>
          </w:tcPr>
          <w:p>
            <w:pPr>
              <w:spacing w:before="173" w:line="218" w:lineRule="auto"/>
              <w:jc w:val="center"/>
              <w:rPr>
                <w:rFonts w:ascii="宋体" w:hAnsi="宋体" w:cs="宋体"/>
                <w:color w:val="FF0000"/>
                <w:sz w:val="24"/>
              </w:rPr>
            </w:pPr>
          </w:p>
        </w:tc>
        <w:tc>
          <w:tcPr>
            <w:tcW w:w="1308" w:type="dxa"/>
            <w:vAlign w:val="center"/>
          </w:tcPr>
          <w:p>
            <w:pPr>
              <w:spacing w:before="173" w:line="218" w:lineRule="auto"/>
              <w:jc w:val="center"/>
              <w:rPr>
                <w:rFonts w:ascii="宋体" w:hAnsi="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FF0000"/>
                <w:sz w:val="24"/>
              </w:rPr>
            </w:pPr>
            <w:r>
              <w:rPr>
                <w:rFonts w:hint="eastAsia" w:ascii="宋体" w:hAnsi="宋体" w:cs="宋体"/>
                <w:color w:val="FF0000"/>
                <w:sz w:val="24"/>
              </w:rPr>
              <w:t>合计人民币：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FF0000"/>
                <w:sz w:val="24"/>
              </w:rPr>
            </w:pPr>
            <w:r>
              <w:rPr>
                <w:rFonts w:hint="eastAsia" w:ascii="宋体" w:hAnsi="宋体" w:cs="宋体"/>
                <w:color w:val="FF0000"/>
                <w:sz w:val="24"/>
              </w:rPr>
              <w:t>工期：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FF0000"/>
                <w:sz w:val="24"/>
              </w:rPr>
            </w:pPr>
            <w:r>
              <w:rPr>
                <w:rFonts w:hint="eastAsia" w:ascii="宋体" w:hAnsi="宋体" w:cs="宋体"/>
                <w:color w:val="FF0000"/>
                <w:sz w:val="24"/>
              </w:rPr>
              <w:t>说明：硬盘录像机（NVR）符合《公共安全视频监控联网系统信息传输、交换、控制技术要求》GB/T 28181—2016标准，存储时长大于等于90天。含设备调试接入市局重庆市固定污染源视频监控平台，含技术支持、设备安装、联网调试等。</w:t>
            </w:r>
          </w:p>
        </w:tc>
      </w:tr>
    </w:tbl>
    <w:p>
      <w:pPr>
        <w:pStyle w:val="51"/>
        <w:spacing w:before="0" w:beforeAutospacing="0" w:after="0" w:afterAutospacing="0" w:line="480" w:lineRule="exact"/>
        <w:ind w:firstLine="560" w:firstLineChars="200"/>
        <w:rPr>
          <w:rFonts w:hint="eastAsia" w:ascii="方正仿宋_GBK" w:hAnsi="宋体" w:eastAsia="方正仿宋_GBK" w:cs="Times New Roman"/>
          <w:color w:val="FF0000"/>
          <w:kern w:val="2"/>
          <w:sz w:val="24"/>
          <w:szCs w:val="24"/>
          <w:lang w:val="en-US" w:eastAsia="zh-CN" w:bidi="ar-SA"/>
        </w:rPr>
      </w:pPr>
      <w:r>
        <w:rPr>
          <w:rFonts w:hint="eastAsia" w:ascii="仿宋" w:hAnsi="仿宋" w:eastAsia="仿宋" w:cs="MS Shell Dlg"/>
          <w:color w:val="FF0000"/>
          <w:sz w:val="28"/>
          <w:szCs w:val="28"/>
        </w:rPr>
        <w:t>注：</w:t>
      </w:r>
      <w:r>
        <w:rPr>
          <w:rFonts w:hint="eastAsia" w:ascii="方正仿宋_GBK" w:hAnsi="宋体" w:eastAsia="方正仿宋_GBK" w:cs="Times New Roman"/>
          <w:color w:val="FF0000"/>
          <w:kern w:val="2"/>
          <w:sz w:val="24"/>
          <w:szCs w:val="24"/>
          <w:lang w:val="en-US" w:eastAsia="zh-CN" w:bidi="ar-SA"/>
        </w:rPr>
        <w:t>1、以上报价均为包干价，应包含货款、辅材费、运输费、搬运费、安装费、调试费、保险费、税费等各项费用。</w:t>
      </w:r>
    </w:p>
    <w:p>
      <w:pPr>
        <w:pStyle w:val="51"/>
        <w:spacing w:before="0" w:beforeAutospacing="0" w:after="0" w:afterAutospacing="0"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2、产品名称以产品注册证或出厂证明上的实际名称为准。</w:t>
      </w:r>
    </w:p>
    <w:p>
      <w:pPr>
        <w:pStyle w:val="51"/>
        <w:spacing w:before="0" w:beforeAutospacing="0" w:after="0" w:afterAutospacing="0" w:line="48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3、请附所报产品的彩色图样。</w:t>
      </w:r>
    </w:p>
    <w:p>
      <w:pPr>
        <w:spacing w:line="360" w:lineRule="auto"/>
        <w:rPr>
          <w:rFonts w:ascii="宋体" w:hAnsi="宋体"/>
          <w:color w:val="auto"/>
          <w:sz w:val="28"/>
          <w:szCs w:val="28"/>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auto"/>
        </w:rPr>
      </w:pPr>
      <w:bookmarkStart w:id="151" w:name="_Toc480979019"/>
      <w:bookmarkStart w:id="152" w:name="_Toc313008357"/>
      <w:bookmarkStart w:id="153" w:name="_Toc342913420"/>
      <w:bookmarkStart w:id="154" w:name="_Toc485108797"/>
      <w:bookmarkStart w:id="155" w:name="_Toc313888361"/>
      <w:r>
        <w:rPr>
          <w:rFonts w:hint="eastAsia"/>
          <w:b/>
          <w:color w:val="auto"/>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6" w:name="_Toc480979020"/>
      <w:bookmarkStart w:id="157" w:name="_Toc342913421"/>
      <w:bookmarkStart w:id="158" w:name="_Toc313008358"/>
      <w:bookmarkStart w:id="159" w:name="_Toc313888362"/>
      <w:bookmarkStart w:id="160" w:name="_Toc485108798"/>
      <w:r>
        <w:rPr>
          <w:rFonts w:hint="eastAsia"/>
          <w:b/>
          <w:color w:val="auto"/>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1"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1"/>
      <w:bookmarkStart w:id="162" w:name="_Toc313008359"/>
      <w:bookmarkStart w:id="163" w:name="_Toc313888363"/>
      <w:bookmarkStart w:id="164"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2"/>
      <w:bookmarkEnd w:id="163"/>
      <w:bookmarkEnd w:id="164"/>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5" w:name="OLE_LINK4"/>
      <w:bookmarkStart w:id="166"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5"/>
    <w:bookmarkEnd w:id="166"/>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4"/>
        <w:bidi w:val="0"/>
        <w:rPr>
          <w:rFonts w:hint="eastAsia"/>
          <w:color w:val="auto"/>
          <w:lang w:val="en-US" w:eastAsia="zh-CN"/>
        </w:rPr>
      </w:pPr>
      <w:bookmarkStart w:id="167" w:name="_Toc31463"/>
      <w:bookmarkStart w:id="168" w:name="_Toc27212"/>
    </w:p>
    <w:p>
      <w:pPr>
        <w:rPr>
          <w:rFonts w:hint="eastAsia"/>
          <w:color w:val="auto"/>
          <w:lang w:val="en-US" w:eastAsia="zh-CN"/>
        </w:rPr>
      </w:pPr>
    </w:p>
    <w:p>
      <w:pPr>
        <w:rPr>
          <w:rFonts w:hint="eastAsia"/>
          <w:color w:val="auto"/>
          <w:lang w:val="en-US" w:eastAsia="zh-CN"/>
        </w:rPr>
      </w:pPr>
    </w:p>
    <w:p>
      <w:pPr>
        <w:pStyle w:val="4"/>
        <w:bidi w:val="0"/>
        <w:rPr>
          <w:rFonts w:hint="eastAsia"/>
          <w:color w:val="auto"/>
          <w:lang w:val="en-US" w:eastAsia="zh-CN"/>
        </w:rPr>
      </w:pPr>
    </w:p>
    <w:bookmarkEnd w:id="167"/>
    <w:bookmarkEnd w:id="168"/>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54402A"/>
    <w:multiLevelType w:val="singleLevel"/>
    <w:tmpl w:val="EE54402A"/>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2960C57"/>
    <w:rsid w:val="134E0964"/>
    <w:rsid w:val="14B95EDB"/>
    <w:rsid w:val="14C6168E"/>
    <w:rsid w:val="15604521"/>
    <w:rsid w:val="17BE7C25"/>
    <w:rsid w:val="18130842"/>
    <w:rsid w:val="19094555"/>
    <w:rsid w:val="19394057"/>
    <w:rsid w:val="19B7492C"/>
    <w:rsid w:val="1B925650"/>
    <w:rsid w:val="1C0025BA"/>
    <w:rsid w:val="1CED540D"/>
    <w:rsid w:val="1CF736B7"/>
    <w:rsid w:val="1D3A4BE6"/>
    <w:rsid w:val="1D632E00"/>
    <w:rsid w:val="1DD87EDC"/>
    <w:rsid w:val="1E9D4968"/>
    <w:rsid w:val="1F2D0A6E"/>
    <w:rsid w:val="1F6D6E4A"/>
    <w:rsid w:val="1FCE723D"/>
    <w:rsid w:val="203372B2"/>
    <w:rsid w:val="204C6181"/>
    <w:rsid w:val="20D53D4A"/>
    <w:rsid w:val="20FB0BC7"/>
    <w:rsid w:val="212C521A"/>
    <w:rsid w:val="21C45BE8"/>
    <w:rsid w:val="21F678C9"/>
    <w:rsid w:val="222B611A"/>
    <w:rsid w:val="224F1BA5"/>
    <w:rsid w:val="23743B1F"/>
    <w:rsid w:val="254D6667"/>
    <w:rsid w:val="25B67319"/>
    <w:rsid w:val="25B7688A"/>
    <w:rsid w:val="25B91E1A"/>
    <w:rsid w:val="26380176"/>
    <w:rsid w:val="271E4A07"/>
    <w:rsid w:val="275D539C"/>
    <w:rsid w:val="27C93585"/>
    <w:rsid w:val="287535CD"/>
    <w:rsid w:val="28CD4235"/>
    <w:rsid w:val="28D01566"/>
    <w:rsid w:val="28E31299"/>
    <w:rsid w:val="2BBD2276"/>
    <w:rsid w:val="2CBD0FB5"/>
    <w:rsid w:val="2E982062"/>
    <w:rsid w:val="2F1F1F02"/>
    <w:rsid w:val="2F2348BD"/>
    <w:rsid w:val="2F6F1AD9"/>
    <w:rsid w:val="2FD06C0B"/>
    <w:rsid w:val="30703D5A"/>
    <w:rsid w:val="30A44277"/>
    <w:rsid w:val="32050A97"/>
    <w:rsid w:val="32DA1DD4"/>
    <w:rsid w:val="3361798A"/>
    <w:rsid w:val="34477E1A"/>
    <w:rsid w:val="35D501BC"/>
    <w:rsid w:val="35E87A5C"/>
    <w:rsid w:val="369E4A52"/>
    <w:rsid w:val="375A306E"/>
    <w:rsid w:val="383862B2"/>
    <w:rsid w:val="38442273"/>
    <w:rsid w:val="38C010B0"/>
    <w:rsid w:val="391C67AE"/>
    <w:rsid w:val="39486CC3"/>
    <w:rsid w:val="39A3534F"/>
    <w:rsid w:val="3AC37FB7"/>
    <w:rsid w:val="3B30241A"/>
    <w:rsid w:val="3C4E0CC8"/>
    <w:rsid w:val="3C4F6F1A"/>
    <w:rsid w:val="3DD60FEB"/>
    <w:rsid w:val="3E263CAA"/>
    <w:rsid w:val="3E491747"/>
    <w:rsid w:val="3E6B192F"/>
    <w:rsid w:val="3EA55BAC"/>
    <w:rsid w:val="3F591E5E"/>
    <w:rsid w:val="403F2E01"/>
    <w:rsid w:val="41007A8F"/>
    <w:rsid w:val="415869FC"/>
    <w:rsid w:val="41AB14E8"/>
    <w:rsid w:val="42030507"/>
    <w:rsid w:val="461B60BF"/>
    <w:rsid w:val="46BB610D"/>
    <w:rsid w:val="473768A1"/>
    <w:rsid w:val="475461C4"/>
    <w:rsid w:val="477A0BC3"/>
    <w:rsid w:val="47F3755A"/>
    <w:rsid w:val="48FA020D"/>
    <w:rsid w:val="492C6FBB"/>
    <w:rsid w:val="499D1F70"/>
    <w:rsid w:val="4A1025A8"/>
    <w:rsid w:val="4AC26B09"/>
    <w:rsid w:val="4AD41B9B"/>
    <w:rsid w:val="4AED1C9D"/>
    <w:rsid w:val="4BE8259F"/>
    <w:rsid w:val="4C4E289A"/>
    <w:rsid w:val="4EB91629"/>
    <w:rsid w:val="4EF70D4B"/>
    <w:rsid w:val="4F2E0C11"/>
    <w:rsid w:val="514069D9"/>
    <w:rsid w:val="51D77CAA"/>
    <w:rsid w:val="52ED493F"/>
    <w:rsid w:val="531F0FF7"/>
    <w:rsid w:val="55297C80"/>
    <w:rsid w:val="56644F18"/>
    <w:rsid w:val="56CD35F6"/>
    <w:rsid w:val="56FF2E93"/>
    <w:rsid w:val="574463C1"/>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466258"/>
    <w:rsid w:val="66815672"/>
    <w:rsid w:val="6972525B"/>
    <w:rsid w:val="69FC5E8B"/>
    <w:rsid w:val="6B217424"/>
    <w:rsid w:val="6B28360F"/>
    <w:rsid w:val="6B290338"/>
    <w:rsid w:val="6B5658E1"/>
    <w:rsid w:val="6B9F4D55"/>
    <w:rsid w:val="6BAA3DD9"/>
    <w:rsid w:val="6DC70D5C"/>
    <w:rsid w:val="6E45126B"/>
    <w:rsid w:val="6F062BB9"/>
    <w:rsid w:val="70E64A50"/>
    <w:rsid w:val="71231A63"/>
    <w:rsid w:val="73B34AD5"/>
    <w:rsid w:val="783A1618"/>
    <w:rsid w:val="788222E3"/>
    <w:rsid w:val="7908485F"/>
    <w:rsid w:val="7936053E"/>
    <w:rsid w:val="793F0B2C"/>
    <w:rsid w:val="797D07AB"/>
    <w:rsid w:val="79AC25AE"/>
    <w:rsid w:val="7AFA60EB"/>
    <w:rsid w:val="7B306E47"/>
    <w:rsid w:val="7C683BAE"/>
    <w:rsid w:val="7CBD0742"/>
    <w:rsid w:val="7D1818A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正文-田"/>
    <w:basedOn w:val="1"/>
    <w:qFormat/>
    <w:uiPriority w:val="0"/>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16167</Words>
  <Characters>16780</Characters>
  <Lines>182</Lines>
  <Paragraphs>51</Paragraphs>
  <TotalTime>14</TotalTime>
  <ScaleCrop>false</ScaleCrop>
  <LinksUpToDate>false</LinksUpToDate>
  <CharactersWithSpaces>18055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cp:lastPrinted>2023-10-08T09:53:00Z</cp:lastPrinted>
  <dcterms:modified xsi:type="dcterms:W3CDTF">2023-10-22T03:13:41Z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