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2023FW039</w:t>
      </w:r>
    </w:p>
    <w:p>
      <w:pPr>
        <w:spacing w:line="700" w:lineRule="exact"/>
        <w:ind w:firstLine="840" w:firstLineChars="300"/>
        <w:rPr>
          <w:rFonts w:hint="eastAsia" w:ascii="方正小标宋_GBK" w:hAnsi="宋体" w:eastAsia="方正小标宋_GBK" w:cs="Times New Roman"/>
          <w:color w:val="auto"/>
          <w:sz w:val="28"/>
          <w:szCs w:val="28"/>
          <w:lang w:eastAsia="zh-CN"/>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放射工作场所、诊疗设备性能和防护检测服务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十</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_Toc3602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_Toc3602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_Toc20936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_Toc20936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_Toc2930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_Toc25411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_Toc25411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_Toc21458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_Toc21458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_Toc18123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_Toc18123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_Toc23008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_Toc23008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_Toc28372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、联系方式</w:t>
      </w:r>
      <w:r>
        <w:rPr>
          <w:color w:val="auto"/>
        </w:rPr>
        <w:tab/>
      </w:r>
      <w:r>
        <w:rPr>
          <w:color w:val="auto"/>
        </w:rPr>
        <w:fldChar w:fldCharType="begin"/>
      </w:r>
      <w:r>
        <w:rPr>
          <w:color w:val="auto"/>
        </w:rPr>
        <w:instrText xml:space="preserve"> PAGEREF _Toc28372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_Toc20174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_Toc20174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_Toc30223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_Toc30223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_Toc32684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_Toc32684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_Toc9704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_Toc9704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_Toc26216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_Toc26216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_Toc22014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_Toc22014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_Toc21479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_Toc21479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_Toc5213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_Toc5213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_Toc985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_Toc985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_Toc17533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_Toc17533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_Toc12339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_Toc12339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_Toc4955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_Toc4955 \h </w:instrText>
      </w:r>
      <w:r>
        <w:rPr>
          <w:color w:val="auto"/>
        </w:rPr>
        <w:fldChar w:fldCharType="separate"/>
      </w:r>
      <w:r>
        <w:rPr>
          <w:color w:val="auto"/>
        </w:rPr>
        <w:t>21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_Toc10614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一、商务需求</w:t>
      </w:r>
      <w:r>
        <w:rPr>
          <w:color w:val="auto"/>
        </w:rPr>
        <w:tab/>
      </w:r>
      <w:r>
        <w:rPr>
          <w:color w:val="auto"/>
        </w:rPr>
        <w:fldChar w:fldCharType="begin"/>
      </w:r>
      <w:r>
        <w:rPr>
          <w:color w:val="auto"/>
        </w:rPr>
        <w:instrText xml:space="preserve"> PAGEREF _Toc10614 \h </w:instrText>
      </w:r>
      <w:r>
        <w:rPr>
          <w:color w:val="auto"/>
        </w:rPr>
        <w:fldChar w:fldCharType="separate"/>
      </w:r>
      <w:r>
        <w:rPr>
          <w:color w:val="auto"/>
        </w:rPr>
        <w:t>21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_Toc20767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w:t>
      </w:r>
      <w:r>
        <w:rPr>
          <w:rFonts w:hint="eastAsia" w:ascii="微软雅黑" w:hAnsi="微软雅黑" w:eastAsia="微软雅黑" w:cs="微软雅黑"/>
          <w:color w:val="auto"/>
          <w:szCs w:val="24"/>
        </w:rPr>
        <w:t>、知识产权</w:t>
      </w:r>
      <w:r>
        <w:rPr>
          <w:color w:val="auto"/>
        </w:rPr>
        <w:tab/>
      </w:r>
      <w:r>
        <w:rPr>
          <w:color w:val="auto"/>
        </w:rPr>
        <w:fldChar w:fldCharType="begin"/>
      </w:r>
      <w:r>
        <w:rPr>
          <w:color w:val="auto"/>
        </w:rPr>
        <w:instrText xml:space="preserve"> PAGEREF _Toc20767 \h </w:instrText>
      </w:r>
      <w:r>
        <w:rPr>
          <w:color w:val="auto"/>
        </w:rPr>
        <w:fldChar w:fldCharType="separate"/>
      </w:r>
      <w:r>
        <w:rPr>
          <w:color w:val="auto"/>
        </w:rPr>
        <w:t>21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_Toc25128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_Toc25128 \h </w:instrText>
      </w:r>
      <w:r>
        <w:rPr>
          <w:color w:val="auto"/>
        </w:rPr>
        <w:fldChar w:fldCharType="separate"/>
      </w:r>
      <w:r>
        <w:rPr>
          <w:color w:val="auto"/>
        </w:rPr>
        <w:t>21</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_Toc1325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_Toc1325 \h </w:instrText>
      </w:r>
      <w:r>
        <w:rPr>
          <w:color w:val="auto"/>
        </w:rPr>
        <w:fldChar w:fldCharType="separate"/>
      </w:r>
      <w:r>
        <w:rPr>
          <w:color w:val="auto"/>
        </w:rPr>
        <w:t>22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_Toc3889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_Toc3889 \h </w:instrText>
      </w:r>
      <w:r>
        <w:rPr>
          <w:color w:val="auto"/>
        </w:rPr>
        <w:fldChar w:fldCharType="separate"/>
      </w:r>
      <w:r>
        <w:rPr>
          <w:color w:val="auto"/>
        </w:rPr>
        <w:t>22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_Toc30617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_Toc30617 \h </w:instrText>
      </w:r>
      <w:r>
        <w:rPr>
          <w:color w:val="auto"/>
        </w:rPr>
        <w:fldChar w:fldCharType="separate"/>
      </w:r>
      <w:r>
        <w:rPr>
          <w:color w:val="auto"/>
        </w:rPr>
        <w:t>22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_Toc19446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_Toc19446 \h </w:instrText>
      </w:r>
      <w:r>
        <w:rPr>
          <w:color w:val="auto"/>
        </w:rPr>
        <w:fldChar w:fldCharType="separate"/>
      </w:r>
      <w:r>
        <w:rPr>
          <w:color w:val="auto"/>
        </w:rPr>
        <w:t>22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_Toc848 \h </w:instrText>
      </w:r>
      <w:r>
        <w:rPr>
          <w:color w:val="auto"/>
        </w:rPr>
        <w:fldChar w:fldCharType="separate"/>
      </w:r>
      <w:r>
        <w:rPr>
          <w:color w:val="auto"/>
        </w:rPr>
        <w:t>22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_Toc26722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_Toc26722 \h </w:instrText>
      </w:r>
      <w:r>
        <w:rPr>
          <w:color w:val="auto"/>
        </w:rPr>
        <w:fldChar w:fldCharType="separate"/>
      </w:r>
      <w:r>
        <w:rPr>
          <w:color w:val="auto"/>
        </w:rPr>
        <w:t>22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_Toc24183 \h </w:instrText>
      </w:r>
      <w:r>
        <w:rPr>
          <w:color w:val="auto"/>
        </w:rPr>
        <w:fldChar w:fldCharType="separate"/>
      </w:r>
      <w:r>
        <w:rPr>
          <w:color w:val="auto"/>
        </w:rPr>
        <w:t>23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_Toc30795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_Toc30795 \h </w:instrText>
      </w:r>
      <w:r>
        <w:rPr>
          <w:color w:val="auto"/>
        </w:rPr>
        <w:fldChar w:fldCharType="separate"/>
      </w:r>
      <w:r>
        <w:rPr>
          <w:color w:val="auto"/>
        </w:rPr>
        <w:t>23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_Toc13002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_Toc13002 \h </w:instrText>
      </w:r>
      <w:r>
        <w:rPr>
          <w:color w:val="auto"/>
        </w:rPr>
        <w:fldChar w:fldCharType="separate"/>
      </w:r>
      <w:r>
        <w:rPr>
          <w:color w:val="auto"/>
        </w:rPr>
        <w:t>23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_Toc14024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十</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_Toc14024 \h </w:instrText>
      </w:r>
      <w:r>
        <w:rPr>
          <w:color w:val="auto"/>
        </w:rPr>
        <w:fldChar w:fldCharType="separate"/>
      </w:r>
      <w:r>
        <w:rPr>
          <w:color w:val="auto"/>
        </w:rPr>
        <w:t>23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_Toc28173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_Toc28173 \h </w:instrText>
      </w:r>
      <w:r>
        <w:rPr>
          <w:color w:val="auto"/>
        </w:rPr>
        <w:fldChar w:fldCharType="separate"/>
      </w:r>
      <w:r>
        <w:rPr>
          <w:color w:val="auto"/>
        </w:rPr>
        <w:t>25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_Toc9591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_Toc9591 \h </w:instrText>
      </w:r>
      <w:r>
        <w:rPr>
          <w:color w:val="auto"/>
        </w:rPr>
        <w:fldChar w:fldCharType="separate"/>
      </w:r>
      <w:r>
        <w:rPr>
          <w:color w:val="auto"/>
        </w:rPr>
        <w:t>25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_Toc12989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_Toc12989 \h </w:instrText>
      </w:r>
      <w:r>
        <w:rPr>
          <w:color w:val="auto"/>
        </w:rPr>
        <w:fldChar w:fldCharType="separate"/>
      </w:r>
      <w:r>
        <w:rPr>
          <w:color w:val="auto"/>
        </w:rPr>
        <w:t>25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_Toc20170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_Toc20170 \h </w:instrText>
      </w:r>
      <w:r>
        <w:rPr>
          <w:color w:val="auto"/>
        </w:rPr>
        <w:fldChar w:fldCharType="separate"/>
      </w:r>
      <w:r>
        <w:rPr>
          <w:color w:val="auto"/>
        </w:rPr>
        <w:t>25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_Toc21423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_Toc21423 \h </w:instrText>
      </w:r>
      <w:r>
        <w:rPr>
          <w:color w:val="auto"/>
        </w:rPr>
        <w:fldChar w:fldCharType="separate"/>
      </w:r>
      <w:r>
        <w:rPr>
          <w:color w:val="auto"/>
        </w:rPr>
        <w:t>25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_Toc3022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_Toc3022 \h </w:instrText>
      </w:r>
      <w:r>
        <w:rPr>
          <w:color w:val="auto"/>
        </w:rPr>
        <w:fldChar w:fldCharType="separate"/>
      </w:r>
      <w:r>
        <w:rPr>
          <w:color w:val="auto"/>
        </w:rPr>
        <w:t>26</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11641050"/>
      <w:bookmarkStart w:id="2" w:name="_Toc3602"/>
      <w:bookmarkStart w:id="3" w:name="_Toc485108766"/>
      <w:r>
        <w:rPr>
          <w:rFonts w:hint="eastAsia" w:ascii="微软雅黑" w:hAnsi="微软雅黑" w:eastAsia="微软雅黑" w:cs="微软雅黑"/>
          <w:b/>
          <w:bCs/>
          <w:color w:val="auto"/>
          <w:sz w:val="36"/>
          <w:szCs w:val="36"/>
        </w:rPr>
        <w:t xml:space="preserve">第一篇  </w:t>
      </w:r>
      <w:bookmarkStart w:id="165" w:name="_GoBack"/>
      <w:r>
        <w:rPr>
          <w:rFonts w:hint="eastAsia" w:ascii="微软雅黑" w:hAnsi="微软雅黑" w:eastAsia="微软雅黑" w:cs="微软雅黑"/>
          <w:b/>
          <w:bCs/>
          <w:color w:val="auto"/>
          <w:sz w:val="36"/>
          <w:szCs w:val="36"/>
        </w:rPr>
        <w:t>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放射工作场所、诊疗设备性能和防护检测服务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0936"/>
      <w:bookmarkStart w:id="7" w:name="_Toc317775175"/>
      <w:bookmarkStart w:id="8" w:name="_Toc485108767"/>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放射工作场所、诊疗设备性能和防护检测服务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2930"/>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5411"/>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6" w:name="_Toc6"/>
      <w:bookmarkStart w:id="17" w:name="_Toc485108774"/>
      <w:bookmarkStart w:id="18" w:name="_Toc102227313"/>
    </w:p>
    <w:p>
      <w:pPr>
        <w:spacing w:line="48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有效的三证合一营业执照</w:t>
      </w:r>
    </w:p>
    <w:p>
      <w:pPr>
        <w:spacing w:line="48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服务方须具备相应的从业资质，服务方开展的各项工作须符合国家相关规范、标准</w:t>
      </w:r>
      <w:r>
        <w:rPr>
          <w:rFonts w:hint="eastAsia" w:asciiTheme="minorEastAsia" w:hAnsiTheme="minorEastAsia" w:eastAsiaTheme="minorEastAsia"/>
          <w:color w:val="auto"/>
          <w:sz w:val="28"/>
          <w:szCs w:val="28"/>
        </w:rPr>
        <w:t>。</w:t>
      </w:r>
    </w:p>
    <w:p>
      <w:pPr>
        <w:pStyle w:val="3"/>
        <w:spacing w:line="240" w:lineRule="auto"/>
        <w:rPr>
          <w:color w:val="auto"/>
          <w:sz w:val="24"/>
          <w:szCs w:val="24"/>
        </w:rPr>
      </w:pPr>
      <w:bookmarkStart w:id="19" w:name="_Toc21458"/>
      <w:r>
        <w:rPr>
          <w:rFonts w:hint="eastAsia" w:ascii="微软雅黑" w:hAnsi="微软雅黑" w:eastAsia="微软雅黑" w:cs="微软雅黑"/>
          <w:color w:val="auto"/>
          <w:sz w:val="24"/>
          <w:szCs w:val="24"/>
        </w:rPr>
        <w:t>四、比选有关说明</w:t>
      </w:r>
      <w:bookmarkEnd w:id="16"/>
      <w:bookmarkEnd w:id="19"/>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13</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w:t>
      </w:r>
      <w:r>
        <w:rPr>
          <w:rFonts w:hint="eastAsia" w:ascii="方正仿宋_GBK" w:hAnsi="宋体" w:eastAsia="方正仿宋_GBK"/>
          <w:b/>
          <w:bCs/>
          <w:color w:val="auto"/>
          <w:sz w:val="24"/>
          <w:szCs w:val="24"/>
          <w:lang w:eastAsia="zh-CN"/>
        </w:rPr>
        <w:t>三</w:t>
      </w:r>
      <w:r>
        <w:rPr>
          <w:rFonts w:hint="eastAsia" w:ascii="方正仿宋_GBK" w:hAnsi="宋体" w:eastAsia="方正仿宋_GBK"/>
          <w:b/>
          <w:bCs/>
          <w:color w:val="auto"/>
          <w:sz w:val="24"/>
          <w:szCs w:val="24"/>
        </w:rPr>
        <w:t>家，将进行</w:t>
      </w:r>
      <w:r>
        <w:rPr>
          <w:rFonts w:hint="eastAsia" w:ascii="方正仿宋_GBK" w:hAnsi="宋体" w:eastAsia="方正仿宋_GBK"/>
          <w:b/>
          <w:bCs/>
          <w:color w:val="auto"/>
          <w:sz w:val="24"/>
          <w:szCs w:val="24"/>
          <w:lang w:eastAsia="zh-CN"/>
        </w:rPr>
        <w:t>再次</w:t>
      </w:r>
      <w:r>
        <w:rPr>
          <w:rFonts w:hint="eastAsia" w:ascii="方正仿宋_GBK" w:hAnsi="宋体" w:eastAsia="方正仿宋_GBK"/>
          <w:b/>
          <w:bCs/>
          <w:color w:val="auto"/>
          <w:sz w:val="24"/>
          <w:szCs w:val="24"/>
        </w:rPr>
        <w:t>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9:00</w:t>
      </w:r>
      <w:r>
        <w:rPr>
          <w:rFonts w:hint="eastAsia" w:ascii="方正仿宋_GBK" w:hAnsi="宋体" w:eastAsia="方正仿宋_GBK"/>
          <w:color w:val="auto"/>
          <w:sz w:val="24"/>
          <w:szCs w:val="24"/>
        </w:rPr>
        <w:t>时至2023年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18</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9:00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18123"/>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3008"/>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28372"/>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7"/>
    <w:bookmarkEnd w:id="18"/>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bookmarkEnd w:id="165"/>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p>
    <w:p>
      <w:pPr>
        <w:pStyle w:val="2"/>
        <w:bidi w:val="0"/>
        <w:jc w:val="center"/>
        <w:rPr>
          <w:rFonts w:hint="eastAsia"/>
          <w:b/>
          <w:color w:val="auto"/>
        </w:rPr>
      </w:pPr>
      <w:bookmarkStart w:id="31" w:name="_Toc20174"/>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30223"/>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32684"/>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970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报价要求：</w:t>
      </w:r>
      <w:r>
        <w:rPr>
          <w:rFonts w:hint="eastAsia" w:ascii="方正仿宋_GBK" w:hAnsi="宋体" w:eastAsia="方正仿宋_GBK" w:cs="Times New Roman"/>
          <w:color w:val="auto"/>
          <w:sz w:val="24"/>
          <w:szCs w:val="24"/>
        </w:rPr>
        <w:t>各项投标报价为包干价，包含服务费、差旅费、住宿费、保险费、税费等各项费用。</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02227319"/>
      <w:bookmarkStart w:id="39" w:name="_Toc342913393"/>
      <w:bookmarkStart w:id="40" w:name="_Toc403569780"/>
      <w:bookmarkStart w:id="41" w:name="_Toc18122"/>
      <w:bookmarkStart w:id="42" w:name="_Toc179714298"/>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bookmarkStart w:id="43" w:name="_Toc26216"/>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28776"/>
      <w:bookmarkStart w:id="45" w:name="_Toc403569781"/>
      <w:bookmarkStart w:id="46" w:name="_Toc22014"/>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29340"/>
      <w:bookmarkStart w:id="50" w:name="_Toc403569782"/>
      <w:bookmarkStart w:id="51" w:name="_Toc21479"/>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102227321"/>
      <w:bookmarkStart w:id="56" w:name="_Toc5213"/>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985"/>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17533"/>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br w:type="page"/>
      </w:r>
    </w:p>
    <w:p>
      <w:pPr>
        <w:pStyle w:val="2"/>
        <w:jc w:val="center"/>
        <w:rPr>
          <w:b/>
          <w:color w:val="auto"/>
          <w:sz w:val="44"/>
          <w:szCs w:val="44"/>
        </w:rPr>
      </w:pPr>
      <w:bookmarkStart w:id="65" w:name="_Toc12339"/>
      <w:r>
        <w:rPr>
          <w:rFonts w:hint="eastAsia" w:ascii="微软雅黑" w:hAnsi="微软雅黑" w:eastAsia="微软雅黑" w:cs="微软雅黑"/>
          <w:b/>
          <w:color w:val="auto"/>
          <w:sz w:val="36"/>
          <w:szCs w:val="36"/>
        </w:rPr>
        <w:t>第三篇  项目服务需求</w:t>
      </w:r>
      <w:bookmarkEnd w:id="65"/>
    </w:p>
    <w:p>
      <w:pPr>
        <w:snapToGrid w:val="0"/>
        <w:spacing w:line="400" w:lineRule="exact"/>
        <w:ind w:firstLine="480" w:firstLineChars="200"/>
        <w:rPr>
          <w:rFonts w:hint="eastAsia" w:ascii="方正仿宋_GBK" w:hAnsi="宋体" w:eastAsia="方正仿宋_GBK" w:cs="Times New Roman"/>
          <w:b/>
          <w:bCs/>
          <w:color w:val="auto"/>
          <w:sz w:val="24"/>
          <w:szCs w:val="24"/>
          <w:lang w:eastAsia="zh-CN"/>
        </w:rPr>
      </w:pPr>
      <w:r>
        <w:rPr>
          <w:rFonts w:hint="eastAsia" w:ascii="方正仿宋_GBK" w:hAnsi="宋体" w:eastAsia="方正仿宋_GBK" w:cs="Times New Roman"/>
          <w:b/>
          <w:bCs/>
          <w:color w:val="auto"/>
          <w:sz w:val="24"/>
          <w:szCs w:val="24"/>
          <w:lang w:eastAsia="zh-CN"/>
        </w:rPr>
        <w:t>一、项目服务需求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、服务方应在合同签订后20个工作日内完成检测服务，并在2023年12月31日前提供规范的检测合格报告。</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、服务方所做检测报告需保证规范和真实。</w:t>
      </w:r>
    </w:p>
    <w:p>
      <w:pPr>
        <w:snapToGrid w:val="0"/>
        <w:spacing w:line="400" w:lineRule="exact"/>
        <w:ind w:firstLine="54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3、诊疗设备共有23台，核医学科工作场所1个，设备清单见附件1。</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6" w:name="_Toc485108784"/>
    </w:p>
    <w:bookmarkEnd w:id="66"/>
    <w:p>
      <w:pPr>
        <w:snapToGrid w:val="0"/>
        <w:spacing w:line="400" w:lineRule="exact"/>
        <w:rPr>
          <w:rFonts w:hint="eastAsia" w:ascii="方正仿宋_GBK" w:hAnsi="宋体" w:eastAsia="方正仿宋_GBK" w:cs="Times New Roman"/>
          <w:color w:val="auto"/>
          <w:sz w:val="24"/>
          <w:szCs w:val="24"/>
          <w:lang w:val="en-US" w:eastAsia="zh-CN"/>
        </w:rPr>
      </w:pPr>
      <w:bookmarkStart w:id="67" w:name="_Toc12789058"/>
    </w:p>
    <w:p>
      <w:pPr>
        <w:rPr>
          <w:rFonts w:hint="eastAsia" w:ascii="方正仿宋_GBK" w:hAnsi="宋体" w:eastAsia="方正仿宋_GBK" w:cs="Times New Roman"/>
          <w:color w:val="auto"/>
          <w:sz w:val="24"/>
          <w:szCs w:val="24"/>
          <w:lang w:val="en-US" w:eastAsia="zh-CN"/>
        </w:rPr>
      </w:pPr>
    </w:p>
    <w:p>
      <w:pPr>
        <w:snapToGrid w:val="0"/>
        <w:spacing w:line="400" w:lineRule="exac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附件1</w:t>
      </w:r>
    </w:p>
    <w:tbl>
      <w:tblPr>
        <w:tblStyle w:val="5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8"/>
        <w:gridCol w:w="1166"/>
        <w:gridCol w:w="819"/>
        <w:gridCol w:w="1534"/>
        <w:gridCol w:w="1972"/>
        <w:gridCol w:w="1143"/>
        <w:gridCol w:w="1580"/>
        <w:gridCol w:w="1293"/>
        <w:gridCol w:w="772"/>
        <w:gridCol w:w="986"/>
        <w:gridCol w:w="894"/>
        <w:gridCol w:w="577"/>
        <w:gridCol w:w="845"/>
        <w:gridCol w:w="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1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放射诊疗设备、放射防护与质量控制设备清单（一览表）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4"/>
            <w:tcBorders>
              <w:top w:val="nil"/>
              <w:left w:val="nil"/>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sz w:val="32"/>
                <w:szCs w:val="32"/>
                <w:u w:val="none"/>
              </w:rPr>
            </w:pPr>
            <w:r>
              <w:rPr>
                <w:rStyle w:val="267"/>
                <w:rFonts w:hint="eastAsia" w:ascii="宋体" w:hAnsi="宋体" w:eastAsia="宋体" w:cs="宋体"/>
                <w:b/>
                <w:bCs/>
                <w:color w:val="auto"/>
                <w:sz w:val="32"/>
                <w:szCs w:val="32"/>
                <w:lang w:val="en-US" w:eastAsia="zh-CN" w:bidi="ar"/>
              </w:rPr>
              <w:t xml:space="preserve">  </w:t>
            </w:r>
            <w:r>
              <w:rPr>
                <w:rStyle w:val="268"/>
                <w:rFonts w:hint="eastAsia" w:ascii="宋体" w:hAnsi="宋体" w:eastAsia="宋体" w:cs="宋体"/>
                <w:b/>
                <w:bCs/>
                <w:color w:val="auto"/>
                <w:sz w:val="32"/>
                <w:szCs w:val="32"/>
                <w:lang w:val="en-US" w:eastAsia="zh-CN" w:bidi="ar"/>
              </w:rPr>
              <w:t>单</w:t>
            </w:r>
            <w:r>
              <w:rPr>
                <w:rStyle w:val="267"/>
                <w:rFonts w:hint="eastAsia" w:ascii="宋体" w:hAnsi="宋体" w:eastAsia="宋体" w:cs="宋体"/>
                <w:b/>
                <w:bCs/>
                <w:color w:val="auto"/>
                <w:sz w:val="32"/>
                <w:szCs w:val="32"/>
                <w:lang w:val="en-US" w:eastAsia="zh-CN" w:bidi="ar"/>
              </w:rPr>
              <w:t>位名</w:t>
            </w:r>
            <w:r>
              <w:rPr>
                <w:rStyle w:val="268"/>
                <w:rFonts w:hint="eastAsia" w:ascii="宋体" w:hAnsi="宋体" w:eastAsia="宋体" w:cs="宋体"/>
                <w:b/>
                <w:bCs/>
                <w:color w:val="auto"/>
                <w:sz w:val="32"/>
                <w:szCs w:val="32"/>
                <w:lang w:val="en-US" w:eastAsia="zh-CN" w:bidi="ar"/>
              </w:rPr>
              <w:t>称</w:t>
            </w:r>
            <w:r>
              <w:rPr>
                <w:rStyle w:val="267"/>
                <w:rFonts w:hint="eastAsia" w:ascii="宋体" w:hAnsi="宋体" w:eastAsia="宋体" w:cs="宋体"/>
                <w:b/>
                <w:bCs/>
                <w:color w:val="auto"/>
                <w:sz w:val="32"/>
                <w:szCs w:val="32"/>
                <w:lang w:val="en-US" w:eastAsia="zh-CN" w:bidi="ar"/>
              </w:rPr>
              <w:t>：重</w:t>
            </w:r>
            <w:r>
              <w:rPr>
                <w:rStyle w:val="268"/>
                <w:rFonts w:hint="eastAsia" w:ascii="宋体" w:hAnsi="宋体" w:eastAsia="宋体" w:cs="宋体"/>
                <w:b/>
                <w:bCs/>
                <w:color w:val="auto"/>
                <w:sz w:val="32"/>
                <w:szCs w:val="32"/>
                <w:lang w:val="en-US" w:eastAsia="zh-CN" w:bidi="ar"/>
              </w:rPr>
              <w:t>庆医</w:t>
            </w:r>
            <w:r>
              <w:rPr>
                <w:rStyle w:val="267"/>
                <w:rFonts w:hint="eastAsia" w:ascii="宋体" w:hAnsi="宋体" w:eastAsia="宋体" w:cs="宋体"/>
                <w:b/>
                <w:bCs/>
                <w:color w:val="auto"/>
                <w:sz w:val="32"/>
                <w:szCs w:val="32"/>
                <w:lang w:val="en-US" w:eastAsia="zh-CN" w:bidi="ar"/>
              </w:rPr>
              <w:t>科大</w:t>
            </w:r>
            <w:r>
              <w:rPr>
                <w:rStyle w:val="268"/>
                <w:rFonts w:hint="eastAsia" w:ascii="宋体" w:hAnsi="宋体" w:eastAsia="宋体" w:cs="宋体"/>
                <w:b/>
                <w:bCs/>
                <w:color w:val="auto"/>
                <w:sz w:val="32"/>
                <w:szCs w:val="32"/>
                <w:lang w:val="en-US" w:eastAsia="zh-CN" w:bidi="ar"/>
              </w:rPr>
              <w:t>学</w:t>
            </w:r>
            <w:r>
              <w:rPr>
                <w:rStyle w:val="267"/>
                <w:rFonts w:hint="eastAsia" w:ascii="宋体" w:hAnsi="宋体" w:eastAsia="宋体" w:cs="宋体"/>
                <w:b/>
                <w:bCs/>
                <w:color w:val="auto"/>
                <w:sz w:val="32"/>
                <w:szCs w:val="32"/>
                <w:lang w:val="en-US" w:eastAsia="zh-CN" w:bidi="ar"/>
              </w:rPr>
              <w:t>附</w:t>
            </w:r>
            <w:r>
              <w:rPr>
                <w:rStyle w:val="268"/>
                <w:rFonts w:hint="eastAsia" w:ascii="宋体" w:hAnsi="宋体" w:eastAsia="宋体" w:cs="宋体"/>
                <w:b/>
                <w:bCs/>
                <w:color w:val="auto"/>
                <w:sz w:val="32"/>
                <w:szCs w:val="32"/>
                <w:lang w:val="en-US" w:eastAsia="zh-CN" w:bidi="ar"/>
              </w:rPr>
              <w:t>属</w:t>
            </w:r>
            <w:r>
              <w:rPr>
                <w:rStyle w:val="267"/>
                <w:rFonts w:hint="eastAsia" w:ascii="宋体" w:hAnsi="宋体" w:eastAsia="宋体" w:cs="宋体"/>
                <w:b/>
                <w:bCs/>
                <w:color w:val="auto"/>
                <w:sz w:val="32"/>
                <w:szCs w:val="32"/>
                <w:lang w:val="en-US" w:eastAsia="zh-CN" w:bidi="ar"/>
              </w:rPr>
              <w:t>永川</w:t>
            </w:r>
            <w:r>
              <w:rPr>
                <w:rStyle w:val="268"/>
                <w:rFonts w:hint="eastAsia" w:ascii="宋体" w:hAnsi="宋体" w:eastAsia="宋体" w:cs="宋体"/>
                <w:b/>
                <w:bCs/>
                <w:color w:val="auto"/>
                <w:sz w:val="32"/>
                <w:szCs w:val="32"/>
                <w:lang w:val="en-US" w:eastAsia="zh-CN" w:bidi="ar"/>
              </w:rPr>
              <w:t>医</w:t>
            </w:r>
            <w:r>
              <w:rPr>
                <w:rStyle w:val="267"/>
                <w:rFonts w:hint="eastAsia" w:ascii="宋体" w:hAnsi="宋体" w:eastAsia="宋体" w:cs="宋体"/>
                <w:b/>
                <w:bCs/>
                <w:color w:val="auto"/>
                <w:sz w:val="32"/>
                <w:szCs w:val="32"/>
                <w:lang w:val="en-US" w:eastAsia="zh-CN" w:bidi="ar"/>
              </w:rPr>
              <w:t>院       工作</w:t>
            </w:r>
            <w:r>
              <w:rPr>
                <w:rStyle w:val="268"/>
                <w:rFonts w:hint="eastAsia" w:ascii="宋体" w:hAnsi="宋体" w:eastAsia="宋体" w:cs="宋体"/>
                <w:b/>
                <w:bCs/>
                <w:color w:val="auto"/>
                <w:sz w:val="32"/>
                <w:szCs w:val="32"/>
                <w:lang w:val="en-US" w:eastAsia="zh-CN" w:bidi="ar"/>
              </w:rPr>
              <w:t>类别</w:t>
            </w:r>
            <w:r>
              <w:rPr>
                <w:rStyle w:val="267"/>
                <w:rFonts w:hint="eastAsia" w:ascii="宋体" w:hAnsi="宋体" w:eastAsia="宋体" w:cs="宋体"/>
                <w:b/>
                <w:bCs/>
                <w:color w:val="auto"/>
                <w:sz w:val="32"/>
                <w:szCs w:val="32"/>
                <w:lang w:val="en-US" w:eastAsia="zh-CN" w:bidi="ar"/>
              </w:rPr>
              <w:t>：介入放射</w:t>
            </w:r>
            <w:r>
              <w:rPr>
                <w:rStyle w:val="268"/>
                <w:rFonts w:hint="eastAsia" w:ascii="宋体" w:hAnsi="宋体" w:eastAsia="宋体" w:cs="宋体"/>
                <w:b/>
                <w:bCs/>
                <w:color w:val="auto"/>
                <w:sz w:val="32"/>
                <w:szCs w:val="32"/>
                <w:lang w:val="en-US" w:eastAsia="zh-CN" w:bidi="ar"/>
              </w:rPr>
              <w:t>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序号</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设备/核素名称</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通俗名称</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型  号</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设备编号</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生产厂家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主要参数</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用  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所在科室</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所在详细地点</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检测（或校准定）日期</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新增</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报废或注销停用</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数字减影血管造影系统</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DSA</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Innova3100-IQ</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615111 BU2</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美国GE</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150Kv 1000mA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血管介入治疗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2号楼负一楼胸痛中心介入室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否</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数字减影血管造影系统</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DSA</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Trinias</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41B248487001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日本岛津</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125Kv 1000mA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血管介入治疗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2号楼负一楼胸痛中心导管介入室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是</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备注</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个人放射防护用品</w:t>
            </w:r>
          </w:p>
        </w:tc>
        <w:tc>
          <w:tcPr>
            <w:tcW w:w="4197"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铅帽6件、铅围脖6件、铅眼镜6件、铅防护服6件、铅围裙6件、铅悬挂防护屏2件、床侧防护帘2件</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154" w:type="pct"/>
            <w:tcBorders>
              <w:top w:val="nil"/>
              <w:left w:val="nil"/>
              <w:bottom w:val="nil"/>
              <w:right w:val="nil"/>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394" w:type="pct"/>
            <w:tcBorders>
              <w:top w:val="nil"/>
              <w:left w:val="nil"/>
              <w:bottom w:val="nil"/>
              <w:right w:val="nil"/>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276"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518"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666"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386"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534"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437"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261"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333"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302"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195"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285" w:type="pct"/>
            <w:tcBorders>
              <w:top w:val="nil"/>
              <w:left w:val="nil"/>
              <w:bottom w:val="nil"/>
              <w:right w:val="nil"/>
            </w:tcBorders>
            <w:shd w:val="clear" w:color="auto" w:fill="auto"/>
            <w:noWrap/>
            <w:vAlign w:val="center"/>
          </w:tcPr>
          <w:p>
            <w:pPr>
              <w:jc w:val="center"/>
              <w:rPr>
                <w:rFonts w:hint="default" w:ascii="仿宋_GB2312" w:hAnsi="宋体" w:eastAsia="仿宋_GB2312" w:cs="仿宋_GB2312"/>
                <w:i w:val="0"/>
                <w:iCs w:val="0"/>
                <w:color w:val="auto"/>
                <w:sz w:val="24"/>
                <w:szCs w:val="24"/>
                <w:u w:val="none"/>
              </w:rPr>
            </w:pPr>
          </w:p>
        </w:tc>
        <w:tc>
          <w:tcPr>
            <w:tcW w:w="253" w:type="pct"/>
            <w:tcBorders>
              <w:top w:val="nil"/>
              <w:left w:val="nil"/>
              <w:bottom w:val="nil"/>
              <w:right w:val="nil"/>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kern w:val="0"/>
                <w:sz w:val="32"/>
                <w:szCs w:val="32"/>
                <w:u w:val="none"/>
                <w:lang w:val="en-US" w:eastAsia="zh-CN" w:bidi="ar"/>
              </w:rPr>
            </w:pPr>
          </w:p>
          <w:p>
            <w:pPr>
              <w:keepNext w:val="0"/>
              <w:keepLines w:val="0"/>
              <w:widowControl/>
              <w:suppressLineNumbers w:val="0"/>
              <w:jc w:val="center"/>
              <w:textAlignment w:val="bottom"/>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放射诊疗设备、放射防护与质量控制设备清单（一览表）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4" w:hRule="atLeast"/>
        </w:trPr>
        <w:tc>
          <w:tcPr>
            <w:tcW w:w="5000" w:type="pct"/>
            <w:gridSpan w:val="14"/>
            <w:tcBorders>
              <w:top w:val="nil"/>
              <w:left w:val="nil"/>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sz w:val="32"/>
                <w:szCs w:val="32"/>
                <w:u w:val="none"/>
              </w:rPr>
            </w:pPr>
            <w:r>
              <w:rPr>
                <w:rStyle w:val="267"/>
                <w:rFonts w:hint="eastAsia" w:ascii="宋体" w:hAnsi="宋体" w:eastAsia="宋体" w:cs="宋体"/>
                <w:color w:val="auto"/>
                <w:sz w:val="32"/>
                <w:szCs w:val="32"/>
                <w:lang w:val="en-US" w:eastAsia="zh-CN" w:bidi="ar"/>
              </w:rPr>
              <w:t xml:space="preserve">  </w:t>
            </w:r>
            <w:r>
              <w:rPr>
                <w:rStyle w:val="268"/>
                <w:rFonts w:hint="eastAsia" w:ascii="宋体" w:hAnsi="宋体" w:eastAsia="宋体" w:cs="宋体"/>
                <w:color w:val="auto"/>
                <w:sz w:val="32"/>
                <w:szCs w:val="32"/>
                <w:lang w:val="en-US" w:eastAsia="zh-CN" w:bidi="ar"/>
              </w:rPr>
              <w:t>单</w:t>
            </w:r>
            <w:r>
              <w:rPr>
                <w:rStyle w:val="267"/>
                <w:rFonts w:hint="eastAsia" w:ascii="宋体" w:hAnsi="宋体" w:eastAsia="宋体" w:cs="宋体"/>
                <w:color w:val="auto"/>
                <w:sz w:val="32"/>
                <w:szCs w:val="32"/>
                <w:lang w:val="en-US" w:eastAsia="zh-CN" w:bidi="ar"/>
              </w:rPr>
              <w:t>位名</w:t>
            </w:r>
            <w:r>
              <w:rPr>
                <w:rStyle w:val="268"/>
                <w:rFonts w:hint="eastAsia" w:ascii="宋体" w:hAnsi="宋体" w:eastAsia="宋体" w:cs="宋体"/>
                <w:color w:val="auto"/>
                <w:sz w:val="32"/>
                <w:szCs w:val="32"/>
                <w:lang w:val="en-US" w:eastAsia="zh-CN" w:bidi="ar"/>
              </w:rPr>
              <w:t>称</w:t>
            </w:r>
            <w:r>
              <w:rPr>
                <w:rStyle w:val="267"/>
                <w:rFonts w:hint="eastAsia" w:ascii="宋体" w:hAnsi="宋体" w:eastAsia="宋体" w:cs="宋体"/>
                <w:color w:val="auto"/>
                <w:sz w:val="32"/>
                <w:szCs w:val="32"/>
                <w:lang w:val="en-US" w:eastAsia="zh-CN" w:bidi="ar"/>
              </w:rPr>
              <w:t>：重</w:t>
            </w:r>
            <w:r>
              <w:rPr>
                <w:rStyle w:val="268"/>
                <w:rFonts w:hint="eastAsia" w:ascii="宋体" w:hAnsi="宋体" w:eastAsia="宋体" w:cs="宋体"/>
                <w:color w:val="auto"/>
                <w:sz w:val="32"/>
                <w:szCs w:val="32"/>
                <w:lang w:val="en-US" w:eastAsia="zh-CN" w:bidi="ar"/>
              </w:rPr>
              <w:t>庆医</w:t>
            </w:r>
            <w:r>
              <w:rPr>
                <w:rStyle w:val="267"/>
                <w:rFonts w:hint="eastAsia" w:ascii="宋体" w:hAnsi="宋体" w:eastAsia="宋体" w:cs="宋体"/>
                <w:color w:val="auto"/>
                <w:sz w:val="32"/>
                <w:szCs w:val="32"/>
                <w:lang w:val="en-US" w:eastAsia="zh-CN" w:bidi="ar"/>
              </w:rPr>
              <w:t>科大</w:t>
            </w:r>
            <w:r>
              <w:rPr>
                <w:rStyle w:val="268"/>
                <w:rFonts w:hint="eastAsia" w:ascii="宋体" w:hAnsi="宋体" w:eastAsia="宋体" w:cs="宋体"/>
                <w:color w:val="auto"/>
                <w:sz w:val="32"/>
                <w:szCs w:val="32"/>
                <w:lang w:val="en-US" w:eastAsia="zh-CN" w:bidi="ar"/>
              </w:rPr>
              <w:t>学</w:t>
            </w:r>
            <w:r>
              <w:rPr>
                <w:rStyle w:val="267"/>
                <w:rFonts w:hint="eastAsia" w:ascii="宋体" w:hAnsi="宋体" w:eastAsia="宋体" w:cs="宋体"/>
                <w:color w:val="auto"/>
                <w:sz w:val="32"/>
                <w:szCs w:val="32"/>
                <w:lang w:val="en-US" w:eastAsia="zh-CN" w:bidi="ar"/>
              </w:rPr>
              <w:t>附</w:t>
            </w:r>
            <w:r>
              <w:rPr>
                <w:rStyle w:val="268"/>
                <w:rFonts w:hint="eastAsia" w:ascii="宋体" w:hAnsi="宋体" w:eastAsia="宋体" w:cs="宋体"/>
                <w:color w:val="auto"/>
                <w:sz w:val="32"/>
                <w:szCs w:val="32"/>
                <w:lang w:val="en-US" w:eastAsia="zh-CN" w:bidi="ar"/>
              </w:rPr>
              <w:t>属</w:t>
            </w:r>
            <w:r>
              <w:rPr>
                <w:rStyle w:val="267"/>
                <w:rFonts w:hint="eastAsia" w:ascii="宋体" w:hAnsi="宋体" w:eastAsia="宋体" w:cs="宋体"/>
                <w:color w:val="auto"/>
                <w:sz w:val="32"/>
                <w:szCs w:val="32"/>
                <w:lang w:val="en-US" w:eastAsia="zh-CN" w:bidi="ar"/>
              </w:rPr>
              <w:t>永川</w:t>
            </w:r>
            <w:r>
              <w:rPr>
                <w:rStyle w:val="268"/>
                <w:rFonts w:hint="eastAsia" w:ascii="宋体" w:hAnsi="宋体" w:eastAsia="宋体" w:cs="宋体"/>
                <w:color w:val="auto"/>
                <w:sz w:val="32"/>
                <w:szCs w:val="32"/>
                <w:lang w:val="en-US" w:eastAsia="zh-CN" w:bidi="ar"/>
              </w:rPr>
              <w:t>医</w:t>
            </w:r>
            <w:r>
              <w:rPr>
                <w:rStyle w:val="267"/>
                <w:rFonts w:hint="eastAsia" w:ascii="宋体" w:hAnsi="宋体" w:eastAsia="宋体" w:cs="宋体"/>
                <w:color w:val="auto"/>
                <w:sz w:val="32"/>
                <w:szCs w:val="32"/>
                <w:lang w:val="en-US" w:eastAsia="zh-CN" w:bidi="ar"/>
              </w:rPr>
              <w:t>院      工作</w:t>
            </w:r>
            <w:r>
              <w:rPr>
                <w:rStyle w:val="268"/>
                <w:rFonts w:hint="eastAsia" w:ascii="宋体" w:hAnsi="宋体" w:eastAsia="宋体" w:cs="宋体"/>
                <w:color w:val="auto"/>
                <w:sz w:val="32"/>
                <w:szCs w:val="32"/>
                <w:lang w:val="en-US" w:eastAsia="zh-CN" w:bidi="ar"/>
              </w:rPr>
              <w:t>类别</w:t>
            </w:r>
            <w:r>
              <w:rPr>
                <w:rStyle w:val="267"/>
                <w:rFonts w:hint="eastAsia" w:ascii="宋体" w:hAnsi="宋体" w:eastAsia="宋体" w:cs="宋体"/>
                <w:color w:val="auto"/>
                <w:sz w:val="32"/>
                <w:szCs w:val="32"/>
                <w:lang w:val="en-US" w:eastAsia="zh-CN" w:bidi="ar"/>
              </w:rPr>
              <w:t>：X射</w:t>
            </w:r>
            <w:r>
              <w:rPr>
                <w:rStyle w:val="268"/>
                <w:rFonts w:hint="eastAsia" w:ascii="宋体" w:hAnsi="宋体" w:eastAsia="宋体" w:cs="宋体"/>
                <w:color w:val="auto"/>
                <w:sz w:val="32"/>
                <w:szCs w:val="32"/>
                <w:lang w:val="en-US" w:eastAsia="zh-CN" w:bidi="ar"/>
              </w:rPr>
              <w:t>线线</w:t>
            </w:r>
            <w:r>
              <w:rPr>
                <w:rStyle w:val="267"/>
                <w:rFonts w:hint="eastAsia" w:ascii="宋体" w:hAnsi="宋体" w:eastAsia="宋体" w:cs="宋体"/>
                <w:color w:val="auto"/>
                <w:sz w:val="32"/>
                <w:szCs w:val="32"/>
                <w:lang w:val="en-US" w:eastAsia="zh-CN" w:bidi="ar"/>
              </w:rPr>
              <w:t>影像</w:t>
            </w:r>
            <w:r>
              <w:rPr>
                <w:rStyle w:val="268"/>
                <w:rFonts w:hint="eastAsia" w:ascii="宋体" w:hAnsi="宋体" w:eastAsia="宋体" w:cs="宋体"/>
                <w:color w:val="auto"/>
                <w:sz w:val="32"/>
                <w:szCs w:val="32"/>
                <w:lang w:val="en-US" w:eastAsia="zh-CN" w:bidi="ar"/>
              </w:rPr>
              <w:t>诊断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序号</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设备/核素名称</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通俗名称</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型  号</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设备编号</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生产厂家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主要参数</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用  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所在科室</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所在详细地点</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检测（或校准）日期</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新增</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报废或注销停用</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医用诊断X射线机（DR）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VX PLUS</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10139</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西门子</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150kV  500mA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2号楼负一楼照片室1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乳腺X射线机（DR）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钼靶机</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Senographe DS</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6219788U6</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美国GE</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49 kV  100mA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2号楼负一楼乳腺照片室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256层CT（128排）</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CT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Brilliance ICT</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102116710191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飞利浦公司</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140kV  600mA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2号楼负一楼CT室2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移动C型臂（DR）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SIREMOBIL Compact</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11366</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德国西门子</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125kV 200mA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手术室</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1号楼三楼手术室11号手术间</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已在证上15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医用X射线机透视胃肠机（DR）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胃肠机</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R-300</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566-14100-17</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日本岛津</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150kV  800mA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2号楼负一楼照片室3</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已在证上21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全身骨密度仪（DR）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骨密度仪</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DPX-NT</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152598GA</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美国GE</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76 kV  1.5mA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2号楼负一楼骨密度仪照片室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已在证上22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7</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移动床旁X射线机（DR）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床旁机</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MuX-200D</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62E056</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北京岛津</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133kV  400mA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存放于CT操作室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已在证上23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医用诊断X射线机（DR）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UD150L-40E</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61E635</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北京岛津</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150kV 630mA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2号楼负一楼照片室2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9</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移动C型臂（DR）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Cios Select S1</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11946</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上海西门子</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120kV 200mA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手术室</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1号楼三楼手术室11号手术间</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已在证上26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64排CT</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CT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SOMATOM go.Top</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120108</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上海西门子</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 xml:space="preserve">140 kV   825 mA </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2号楼负一楼CT室1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移动床旁机（DR）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MUX-200D</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62E455</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北京岛津</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 xml:space="preserve">130 kV  320 mA </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存放于CT操作室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牙片机</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CS2100</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HJYS001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锐科牙科有限公司</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60 kV    7 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口腔科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2号楼二楼口腔科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已在证上30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方舱CT  （60排）</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uCT710</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666007</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上海联影</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140kV  667mA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5号楼外</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已在证上31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口腔颌面锥形束计算机体层摄影设备</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口腔CT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0P300-1型</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IE2109131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芬兰卡瓦</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90kV  16mA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2号楼负一楼口腔全景照片室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已在证上32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移动C型臂（DR）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OEC One CFD</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BB8SS2200363HL</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北京通用电气华伦医疗设备有限公司</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110kV 25mA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手术室</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1号楼三楼手术室11号手术间</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已在证上33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医用X射线摄影装置系统(DR)</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DR</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DigiEye680型</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C2-1B000270</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深圳迈瑞</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150kV  800mA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2号楼负一楼DR机房</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已在证上34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160排CT</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CT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uCT860</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850031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上海联影医疗科技股份有限公司</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140kV  833mA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影像诊断</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放射科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7号楼一楼重症专用CT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已在证上35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备注</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个人放射防护用品</w:t>
            </w:r>
          </w:p>
        </w:tc>
        <w:tc>
          <w:tcPr>
            <w:tcW w:w="4197"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铅衣16件、铅帽12件、铅围裙12件、铅大颈围脖2件、铅围脖1件、移动铅屏风2件、铅屏风1件</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15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9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7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18"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66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8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3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437"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61"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3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02"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19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8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5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9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7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18"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66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8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3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437"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61"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3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02"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19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8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5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kern w:val="0"/>
                <w:sz w:val="32"/>
                <w:szCs w:val="32"/>
                <w:u w:val="none"/>
                <w:lang w:val="en-US" w:eastAsia="zh-CN" w:bidi="ar"/>
              </w:rPr>
            </w:pPr>
          </w:p>
          <w:p>
            <w:pPr>
              <w:keepNext w:val="0"/>
              <w:keepLines w:val="0"/>
              <w:widowControl/>
              <w:suppressLineNumbers w:val="0"/>
              <w:jc w:val="both"/>
              <w:textAlignment w:val="bottom"/>
              <w:rPr>
                <w:rFonts w:hint="eastAsia" w:ascii="宋体" w:hAnsi="宋体" w:eastAsia="宋体" w:cs="宋体"/>
                <w:b/>
                <w:bCs/>
                <w:i w:val="0"/>
                <w:iCs w:val="0"/>
                <w:color w:val="auto"/>
                <w:kern w:val="0"/>
                <w:sz w:val="32"/>
                <w:szCs w:val="32"/>
                <w:u w:val="none"/>
                <w:lang w:val="en-US" w:eastAsia="zh-CN" w:bidi="ar"/>
              </w:rPr>
            </w:pPr>
          </w:p>
          <w:p>
            <w:pPr>
              <w:keepNext w:val="0"/>
              <w:keepLines w:val="0"/>
              <w:widowControl/>
              <w:suppressLineNumbers w:val="0"/>
              <w:jc w:val="both"/>
              <w:textAlignment w:val="bottom"/>
              <w:rPr>
                <w:rFonts w:hint="eastAsia" w:ascii="宋体" w:hAnsi="宋体" w:eastAsia="宋体" w:cs="宋体"/>
                <w:b/>
                <w:bCs/>
                <w:i w:val="0"/>
                <w:iCs w:val="0"/>
                <w:color w:val="auto"/>
                <w:kern w:val="0"/>
                <w:sz w:val="32"/>
                <w:szCs w:val="32"/>
                <w:u w:val="none"/>
                <w:lang w:val="en-US" w:eastAsia="zh-CN" w:bidi="ar"/>
              </w:rPr>
            </w:pPr>
          </w:p>
          <w:p>
            <w:pPr>
              <w:keepNext w:val="0"/>
              <w:keepLines w:val="0"/>
              <w:widowControl/>
              <w:suppressLineNumbers w:val="0"/>
              <w:jc w:val="both"/>
              <w:textAlignment w:val="bottom"/>
              <w:rPr>
                <w:rFonts w:hint="eastAsia" w:ascii="宋体" w:hAnsi="宋体" w:eastAsia="宋体" w:cs="宋体"/>
                <w:b/>
                <w:bCs/>
                <w:i w:val="0"/>
                <w:iCs w:val="0"/>
                <w:color w:val="auto"/>
                <w:kern w:val="0"/>
                <w:sz w:val="32"/>
                <w:szCs w:val="32"/>
                <w:u w:val="none"/>
                <w:lang w:val="en-US" w:eastAsia="zh-CN" w:bidi="ar"/>
              </w:rPr>
            </w:pPr>
          </w:p>
          <w:p>
            <w:pPr>
              <w:keepNext w:val="0"/>
              <w:keepLines w:val="0"/>
              <w:widowControl/>
              <w:suppressLineNumbers w:val="0"/>
              <w:jc w:val="center"/>
              <w:textAlignment w:val="bottom"/>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放射诊疗设备、放射防护与质量控制设备清单（一览表）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4"/>
            <w:tcBorders>
              <w:top w:val="nil"/>
              <w:left w:val="nil"/>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sz w:val="32"/>
                <w:szCs w:val="32"/>
                <w:u w:val="none"/>
              </w:rPr>
            </w:pPr>
            <w:r>
              <w:rPr>
                <w:rStyle w:val="267"/>
                <w:rFonts w:hint="eastAsia" w:ascii="宋体" w:hAnsi="宋体" w:eastAsia="宋体" w:cs="宋体"/>
                <w:color w:val="auto"/>
                <w:sz w:val="32"/>
                <w:szCs w:val="32"/>
                <w:lang w:val="en-US" w:eastAsia="zh-CN" w:bidi="ar"/>
              </w:rPr>
              <w:t xml:space="preserve">  </w:t>
            </w:r>
            <w:r>
              <w:rPr>
                <w:rStyle w:val="268"/>
                <w:rFonts w:hint="eastAsia" w:ascii="宋体" w:hAnsi="宋体" w:eastAsia="宋体" w:cs="宋体"/>
                <w:color w:val="auto"/>
                <w:sz w:val="32"/>
                <w:szCs w:val="32"/>
                <w:lang w:val="en-US" w:eastAsia="zh-CN" w:bidi="ar"/>
              </w:rPr>
              <w:t>单</w:t>
            </w:r>
            <w:r>
              <w:rPr>
                <w:rStyle w:val="267"/>
                <w:rFonts w:hint="eastAsia" w:ascii="宋体" w:hAnsi="宋体" w:eastAsia="宋体" w:cs="宋体"/>
                <w:color w:val="auto"/>
                <w:sz w:val="32"/>
                <w:szCs w:val="32"/>
                <w:lang w:val="en-US" w:eastAsia="zh-CN" w:bidi="ar"/>
              </w:rPr>
              <w:t>位名</w:t>
            </w:r>
            <w:r>
              <w:rPr>
                <w:rStyle w:val="268"/>
                <w:rFonts w:hint="eastAsia" w:ascii="宋体" w:hAnsi="宋体" w:eastAsia="宋体" w:cs="宋体"/>
                <w:color w:val="auto"/>
                <w:sz w:val="32"/>
                <w:szCs w:val="32"/>
                <w:lang w:val="en-US" w:eastAsia="zh-CN" w:bidi="ar"/>
              </w:rPr>
              <w:t>称</w:t>
            </w:r>
            <w:r>
              <w:rPr>
                <w:rStyle w:val="267"/>
                <w:rFonts w:hint="eastAsia" w:ascii="宋体" w:hAnsi="宋体" w:eastAsia="宋体" w:cs="宋体"/>
                <w:color w:val="auto"/>
                <w:sz w:val="32"/>
                <w:szCs w:val="32"/>
                <w:lang w:val="en-US" w:eastAsia="zh-CN" w:bidi="ar"/>
              </w:rPr>
              <w:t>：重</w:t>
            </w:r>
            <w:r>
              <w:rPr>
                <w:rStyle w:val="268"/>
                <w:rFonts w:hint="eastAsia" w:ascii="宋体" w:hAnsi="宋体" w:eastAsia="宋体" w:cs="宋体"/>
                <w:color w:val="auto"/>
                <w:sz w:val="32"/>
                <w:szCs w:val="32"/>
                <w:lang w:val="en-US" w:eastAsia="zh-CN" w:bidi="ar"/>
              </w:rPr>
              <w:t>庆医</w:t>
            </w:r>
            <w:r>
              <w:rPr>
                <w:rStyle w:val="267"/>
                <w:rFonts w:hint="eastAsia" w:ascii="宋体" w:hAnsi="宋体" w:eastAsia="宋体" w:cs="宋体"/>
                <w:color w:val="auto"/>
                <w:sz w:val="32"/>
                <w:szCs w:val="32"/>
                <w:lang w:val="en-US" w:eastAsia="zh-CN" w:bidi="ar"/>
              </w:rPr>
              <w:t>科大</w:t>
            </w:r>
            <w:r>
              <w:rPr>
                <w:rStyle w:val="268"/>
                <w:rFonts w:hint="eastAsia" w:ascii="宋体" w:hAnsi="宋体" w:eastAsia="宋体" w:cs="宋体"/>
                <w:color w:val="auto"/>
                <w:sz w:val="32"/>
                <w:szCs w:val="32"/>
                <w:lang w:val="en-US" w:eastAsia="zh-CN" w:bidi="ar"/>
              </w:rPr>
              <w:t>学</w:t>
            </w:r>
            <w:r>
              <w:rPr>
                <w:rStyle w:val="267"/>
                <w:rFonts w:hint="eastAsia" w:ascii="宋体" w:hAnsi="宋体" w:eastAsia="宋体" w:cs="宋体"/>
                <w:color w:val="auto"/>
                <w:sz w:val="32"/>
                <w:szCs w:val="32"/>
                <w:lang w:val="en-US" w:eastAsia="zh-CN" w:bidi="ar"/>
              </w:rPr>
              <w:t>附</w:t>
            </w:r>
            <w:r>
              <w:rPr>
                <w:rStyle w:val="268"/>
                <w:rFonts w:hint="eastAsia" w:ascii="宋体" w:hAnsi="宋体" w:eastAsia="宋体" w:cs="宋体"/>
                <w:color w:val="auto"/>
                <w:sz w:val="32"/>
                <w:szCs w:val="32"/>
                <w:lang w:val="en-US" w:eastAsia="zh-CN" w:bidi="ar"/>
              </w:rPr>
              <w:t>属</w:t>
            </w:r>
            <w:r>
              <w:rPr>
                <w:rStyle w:val="267"/>
                <w:rFonts w:hint="eastAsia" w:ascii="宋体" w:hAnsi="宋体" w:eastAsia="宋体" w:cs="宋体"/>
                <w:color w:val="auto"/>
                <w:sz w:val="32"/>
                <w:szCs w:val="32"/>
                <w:lang w:val="en-US" w:eastAsia="zh-CN" w:bidi="ar"/>
              </w:rPr>
              <w:t>永川</w:t>
            </w:r>
            <w:r>
              <w:rPr>
                <w:rStyle w:val="268"/>
                <w:rFonts w:hint="eastAsia" w:ascii="宋体" w:hAnsi="宋体" w:eastAsia="宋体" w:cs="宋体"/>
                <w:color w:val="auto"/>
                <w:sz w:val="32"/>
                <w:szCs w:val="32"/>
                <w:lang w:val="en-US" w:eastAsia="zh-CN" w:bidi="ar"/>
              </w:rPr>
              <w:t>医</w:t>
            </w:r>
            <w:r>
              <w:rPr>
                <w:rStyle w:val="267"/>
                <w:rFonts w:hint="eastAsia" w:ascii="宋体" w:hAnsi="宋体" w:eastAsia="宋体" w:cs="宋体"/>
                <w:color w:val="auto"/>
                <w:sz w:val="32"/>
                <w:szCs w:val="32"/>
                <w:lang w:val="en-US" w:eastAsia="zh-CN" w:bidi="ar"/>
              </w:rPr>
              <w:t>院       工作</w:t>
            </w:r>
            <w:r>
              <w:rPr>
                <w:rStyle w:val="268"/>
                <w:rFonts w:hint="eastAsia" w:ascii="宋体" w:hAnsi="宋体" w:eastAsia="宋体" w:cs="宋体"/>
                <w:color w:val="auto"/>
                <w:sz w:val="32"/>
                <w:szCs w:val="32"/>
                <w:lang w:val="en-US" w:eastAsia="zh-CN" w:bidi="ar"/>
              </w:rPr>
              <w:t>类别</w:t>
            </w:r>
            <w:r>
              <w:rPr>
                <w:rStyle w:val="267"/>
                <w:rFonts w:hint="eastAsia" w:ascii="宋体" w:hAnsi="宋体" w:eastAsia="宋体" w:cs="宋体"/>
                <w:color w:val="auto"/>
                <w:sz w:val="32"/>
                <w:szCs w:val="32"/>
                <w:lang w:val="en-US" w:eastAsia="zh-CN" w:bidi="ar"/>
              </w:rPr>
              <w:t>：核医学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序号</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设备/核素名称</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通俗名称</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型  号</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设备编号</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生产厂家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主要参数</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用  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所在科室</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所在详细地点</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检测（或校准定）日期</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新增</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报废或注销停用</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碘—125粒子</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125I</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0.3~0.8mci/粒</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天津赛德生物制药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0.3~0.8mci/粒</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恶性肿瘤治疗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核医学科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核医学科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否</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SPECT/CT</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ECT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Symbian T2</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1197</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西门子</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130Kv 240mA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融合成像及影像诊断，兼粒子植入定位</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核医学科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4号楼3楼核医学科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2"/>
                <w:szCs w:val="22"/>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否</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3</w:t>
            </w:r>
          </w:p>
        </w:tc>
        <w:tc>
          <w:tcPr>
            <w:tcW w:w="4845"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核医学科工作场所检测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5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备注：个人放射防护用品</w:t>
            </w:r>
          </w:p>
        </w:tc>
        <w:tc>
          <w:tcPr>
            <w:tcW w:w="4451" w:type="pct"/>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铅衣5件、铅帽2件、铅手套1件、铅眼镜3件、铅围脖2件、铅屏风3件、铅砖60块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9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7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18"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66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8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3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437"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61"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3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02"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19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8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5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9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7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18"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66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8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3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437"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61"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3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02"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19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8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5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9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7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18"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66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86"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534"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437"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61"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3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302"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19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85"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c>
          <w:tcPr>
            <w:tcW w:w="25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kern w:val="0"/>
                <w:sz w:val="32"/>
                <w:szCs w:val="32"/>
                <w:u w:val="none"/>
                <w:lang w:val="en-US" w:eastAsia="zh-CN" w:bidi="ar"/>
              </w:rPr>
            </w:pPr>
          </w:p>
          <w:p>
            <w:pPr>
              <w:keepNext w:val="0"/>
              <w:keepLines w:val="0"/>
              <w:widowControl/>
              <w:suppressLineNumbers w:val="0"/>
              <w:jc w:val="center"/>
              <w:textAlignment w:val="bottom"/>
              <w:rPr>
                <w:rFonts w:hint="eastAsia" w:ascii="宋体" w:hAnsi="宋体" w:eastAsia="宋体" w:cs="宋体"/>
                <w:b/>
                <w:bCs/>
                <w:i w:val="0"/>
                <w:iCs w:val="0"/>
                <w:color w:val="auto"/>
                <w:kern w:val="0"/>
                <w:sz w:val="32"/>
                <w:szCs w:val="32"/>
                <w:u w:val="none"/>
                <w:lang w:val="en-US" w:eastAsia="zh-CN" w:bidi="ar"/>
              </w:rPr>
            </w:pPr>
          </w:p>
          <w:p>
            <w:pPr>
              <w:keepNext w:val="0"/>
              <w:keepLines w:val="0"/>
              <w:widowControl/>
              <w:suppressLineNumbers w:val="0"/>
              <w:jc w:val="center"/>
              <w:textAlignment w:val="bottom"/>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放射诊疗设备、放射防护与质量控制设备清单（一览表）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46" w:type="pct"/>
            <w:gridSpan w:val="13"/>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 xml:space="preserve">    单位名称：重庆医科大学附属永川医院         工作类别：放射治疗</w:t>
            </w:r>
          </w:p>
        </w:tc>
        <w:tc>
          <w:tcPr>
            <w:tcW w:w="253" w:type="pct"/>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序号</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设备/核素名称</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通俗名称</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型  号</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设备编号</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生产厂家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主要参数</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用  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所在科室</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所在详细地点</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检测（或校准）日期</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新增</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报废或注销或停用</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auto"/>
                <w:sz w:val="24"/>
                <w:szCs w:val="24"/>
                <w:u w:val="none"/>
              </w:rPr>
            </w:pPr>
            <w:r>
              <w:rPr>
                <w:rFonts w:hint="default" w:ascii="仿宋_GB2312" w:hAnsi="宋体" w:eastAsia="仿宋_GB2312" w:cs="仿宋_GB2312"/>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调强适形加速器</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直线加速器</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Elekta Synergy</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335179</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英国     医科达</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15Mv 150mA 30kW</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治疗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放疗科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4号楼一楼加速器室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否</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普通模拟定位机</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Simulix-Evolution</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ML 123831182</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荷兰Nucletron B.V.</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150Kv 600mA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定位</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放疗科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4号楼一楼模拟定位室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否</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5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u w:val="none"/>
              </w:rPr>
            </w:pPr>
            <w:r>
              <w:rPr>
                <w:rFonts w:hint="default" w:ascii="仿宋_GB2312" w:hAnsi="宋体" w:eastAsia="仿宋_GB2312" w:cs="仿宋_GB2312"/>
                <w:i w:val="0"/>
                <w:iCs w:val="0"/>
                <w:color w:val="auto"/>
                <w:kern w:val="0"/>
                <w:sz w:val="22"/>
                <w:szCs w:val="22"/>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近距离后装治疗机</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后装机</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XHDR18B</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山东新华</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治疗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放疗科</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4号楼一楼后装机机房</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否</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2017年停用</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rPr>
            </w:pPr>
            <w:r>
              <w:rPr>
                <w:rFonts w:hint="default" w:ascii="仿宋_GB2312" w:hAnsi="宋体" w:eastAsia="仿宋_GB2312" w:cs="仿宋_GB2312"/>
                <w:i w:val="0"/>
                <w:iCs w:val="0"/>
                <w:color w:val="auto"/>
                <w:kern w:val="0"/>
                <w:sz w:val="24"/>
                <w:szCs w:val="24"/>
                <w:u w:val="none"/>
                <w:lang w:val="en-US" w:eastAsia="zh-CN" w:bidi="ar"/>
              </w:rPr>
              <w:t>已在证上18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134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备注：个人防护用品        </w:t>
            </w:r>
          </w:p>
        </w:tc>
        <w:tc>
          <w:tcPr>
            <w:tcW w:w="3655"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铅衣2件、带围脖铅衣1件、铅眼镜1件、铅手套1件、短铅围裙1件、长铅围裙1件</w:t>
            </w:r>
          </w:p>
        </w:tc>
      </w:tr>
    </w:tbl>
    <w:p>
      <w:pPr>
        <w:rPr>
          <w:rFonts w:hint="eastAsia"/>
          <w:color w:val="auto"/>
        </w:rPr>
        <w:sectPr>
          <w:pgSz w:w="16840" w:h="11907" w:orient="landscape"/>
          <w:pgMar w:top="1304" w:right="1134" w:bottom="1191" w:left="1134" w:header="964" w:footer="992" w:gutter="0"/>
          <w:pgNumType w:fmt="decimal"/>
          <w:cols w:space="720" w:num="1"/>
          <w:docGrid w:linePitch="312" w:charSpace="0"/>
        </w:sectPr>
      </w:pPr>
      <w:bookmarkStart w:id="68" w:name="_Toc485108787"/>
    </w:p>
    <w:p>
      <w:pPr>
        <w:pStyle w:val="2"/>
        <w:jc w:val="center"/>
        <w:rPr>
          <w:b/>
          <w:color w:val="auto"/>
          <w:sz w:val="44"/>
          <w:szCs w:val="44"/>
        </w:rPr>
      </w:pPr>
      <w:bookmarkStart w:id="69" w:name="_Toc4955"/>
      <w:r>
        <w:rPr>
          <w:rFonts w:hint="eastAsia" w:ascii="微软雅黑" w:hAnsi="微软雅黑" w:eastAsia="微软雅黑" w:cs="微软雅黑"/>
          <w:b/>
          <w:color w:val="auto"/>
          <w:sz w:val="36"/>
          <w:szCs w:val="36"/>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auto"/>
          <w:sz w:val="24"/>
          <w:szCs w:val="24"/>
          <w:lang w:val="en-US" w:eastAsia="zh-CN"/>
        </w:rPr>
      </w:pPr>
      <w:bookmarkStart w:id="72" w:name="_Toc10614"/>
      <w:bookmarkStart w:id="73" w:name="_Toc11645"/>
      <w:bookmarkStart w:id="74" w:name="_Toc403569795"/>
      <w:bookmarkStart w:id="75" w:name="_Toc485108793"/>
      <w:r>
        <w:rPr>
          <w:rFonts w:hint="eastAsia" w:ascii="微软雅黑" w:hAnsi="微软雅黑" w:eastAsia="微软雅黑" w:cs="微软雅黑"/>
          <w:color w:val="auto"/>
          <w:sz w:val="24"/>
          <w:szCs w:val="24"/>
          <w:lang w:val="en-US" w:eastAsia="zh-CN"/>
        </w:rPr>
        <w:t>一、商务需求</w:t>
      </w:r>
      <w:bookmarkEnd w:id="72"/>
    </w:p>
    <w:p>
      <w:pPr>
        <w:snapToGrid w:val="0"/>
        <w:spacing w:line="400" w:lineRule="exact"/>
        <w:ind w:firstLine="54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付款方式：服务方按时完成相关工作，提供合格的检测报告，采购方凭服务方提供的合法发票于60日内转账支付服务费用。</w:t>
      </w:r>
    </w:p>
    <w:p>
      <w:pPr>
        <w:spacing w:line="560" w:lineRule="exact"/>
        <w:ind w:firstLine="560" w:firstLineChars="200"/>
        <w:rPr>
          <w:rFonts w:hint="eastAsia" w:ascii="宋体" w:hAnsi="宋体" w:cs="MS Shell Dlg"/>
          <w:color w:val="auto"/>
          <w:sz w:val="28"/>
          <w:szCs w:val="28"/>
        </w:rPr>
      </w:pPr>
    </w:p>
    <w:p>
      <w:pPr>
        <w:pStyle w:val="3"/>
        <w:spacing w:line="240" w:lineRule="auto"/>
        <w:rPr>
          <w:rFonts w:hint="eastAsia" w:ascii="微软雅黑" w:hAnsi="微软雅黑" w:eastAsia="微软雅黑" w:cs="微软雅黑"/>
          <w:color w:val="auto"/>
          <w:sz w:val="24"/>
          <w:szCs w:val="24"/>
        </w:rPr>
      </w:pPr>
      <w:bookmarkStart w:id="76" w:name="_Toc20767"/>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3"/>
      <w:bookmarkEnd w:id="76"/>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bookmarkStart w:id="77" w:name="_Toc25128"/>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4"/>
      <w:bookmarkEnd w:id="75"/>
      <w:bookmarkEnd w:id="77"/>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rFonts w:eastAsia="黑体"/>
          <w:b/>
          <w:color w:val="auto"/>
        </w:rPr>
        <w:sectPr>
          <w:pgSz w:w="11907" w:h="16840"/>
          <w:pgMar w:top="1134" w:right="1191" w:bottom="1134" w:left="1304" w:header="964" w:footer="992" w:gutter="0"/>
          <w:pgNumType w:fmt="decimal"/>
          <w:cols w:space="720" w:num="1"/>
          <w:docGrid w:linePitch="312" w:charSpace="0"/>
        </w:sectPr>
      </w:pPr>
      <w:r>
        <w:rPr>
          <w:rFonts w:eastAsia="黑体"/>
          <w:b/>
          <w:color w:val="auto"/>
        </w:rPr>
        <w:br w:type="page"/>
      </w:r>
      <w:bookmarkEnd w:id="70"/>
      <w:bookmarkEnd w:id="71"/>
      <w:bookmarkStart w:id="78" w:name="_Toc485108794"/>
      <w:bookmarkStart w:id="79" w:name="_Toc403569796"/>
      <w:bookmarkStart w:id="80" w:name="_Toc303945820"/>
      <w:bookmarkStart w:id="81" w:name="_Toc148265480"/>
    </w:p>
    <w:p>
      <w:pPr>
        <w:pStyle w:val="2"/>
        <w:jc w:val="center"/>
        <w:rPr>
          <w:color w:val="auto"/>
          <w:sz w:val="44"/>
          <w:szCs w:val="44"/>
        </w:rPr>
      </w:pPr>
      <w:bookmarkStart w:id="82" w:name="_Toc1325"/>
      <w:r>
        <w:rPr>
          <w:rFonts w:hint="eastAsia" w:ascii="微软雅黑" w:hAnsi="微软雅黑" w:eastAsia="微软雅黑" w:cs="微软雅黑"/>
          <w:b/>
          <w:color w:val="auto"/>
          <w:sz w:val="36"/>
          <w:szCs w:val="36"/>
        </w:rPr>
        <w:t>第五篇  合同草案条款</w:t>
      </w:r>
      <w:bookmarkEnd w:id="78"/>
      <w:bookmarkEnd w:id="79"/>
      <w:bookmarkEnd w:id="82"/>
    </w:p>
    <w:p>
      <w:pPr>
        <w:pStyle w:val="3"/>
        <w:spacing w:line="240" w:lineRule="auto"/>
        <w:rPr>
          <w:rFonts w:hint="eastAsia" w:ascii="微软雅黑" w:hAnsi="微软雅黑" w:eastAsia="微软雅黑" w:cs="微软雅黑"/>
          <w:color w:val="auto"/>
          <w:sz w:val="24"/>
          <w:szCs w:val="24"/>
        </w:rPr>
      </w:pPr>
      <w:bookmarkStart w:id="83" w:name="_Toc54718202"/>
      <w:bookmarkStart w:id="84" w:name="_Toc3889"/>
      <w:r>
        <w:rPr>
          <w:rFonts w:hint="eastAsia" w:ascii="微软雅黑" w:hAnsi="微软雅黑" w:eastAsia="微软雅黑" w:cs="微软雅黑"/>
          <w:color w:val="auto"/>
          <w:sz w:val="24"/>
          <w:szCs w:val="24"/>
        </w:rPr>
        <w:t>一、定义</w:t>
      </w:r>
      <w:bookmarkEnd w:id="83"/>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988"/>
      <w:r>
        <w:rPr>
          <w:rFonts w:hint="eastAsia" w:ascii="方正仿宋_GBK" w:hAnsi="宋体" w:eastAsia="方正仿宋_GBK" w:cs="Times New Roman"/>
          <w:color w:val="auto"/>
          <w:sz w:val="24"/>
          <w:szCs w:val="24"/>
        </w:rPr>
        <w:t>（一）甲方（需方）即重庆医科大学附属永川医院。</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7"/>
    </w:p>
    <w:p>
      <w:pPr>
        <w:snapToGrid w:val="0"/>
        <w:spacing w:line="400" w:lineRule="exact"/>
        <w:ind w:firstLine="480" w:firstLineChars="200"/>
        <w:jc w:val="left"/>
        <w:rPr>
          <w:rFonts w:ascii="方正仿宋_GBK" w:hAnsi="宋体" w:eastAsia="方正仿宋_GBK" w:cs="Times New Roman"/>
          <w:color w:val="auto"/>
          <w:sz w:val="24"/>
          <w:szCs w:val="24"/>
        </w:rPr>
      </w:pPr>
      <w:bookmarkStart w:id="88"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8"/>
    </w:p>
    <w:p>
      <w:pPr>
        <w:snapToGrid w:val="0"/>
        <w:spacing w:line="400" w:lineRule="exact"/>
        <w:ind w:firstLine="480" w:firstLineChars="200"/>
        <w:jc w:val="left"/>
        <w:rPr>
          <w:rFonts w:ascii="方正仿宋_GBK" w:hAnsi="宋体" w:eastAsia="方正仿宋_GBK" w:cs="Times New Roman"/>
          <w:color w:val="auto"/>
          <w:sz w:val="24"/>
          <w:szCs w:val="24"/>
        </w:rPr>
      </w:pPr>
      <w:bookmarkStart w:id="89"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9"/>
    </w:p>
    <w:p>
      <w:pPr>
        <w:pStyle w:val="3"/>
        <w:spacing w:line="240" w:lineRule="auto"/>
        <w:rPr>
          <w:rFonts w:hint="eastAsia" w:ascii="微软雅黑" w:hAnsi="微软雅黑" w:eastAsia="微软雅黑" w:cs="微软雅黑"/>
          <w:color w:val="auto"/>
          <w:sz w:val="24"/>
          <w:szCs w:val="24"/>
        </w:rPr>
      </w:pPr>
      <w:bookmarkStart w:id="90" w:name="_Toc54718203"/>
      <w:bookmarkStart w:id="91" w:name="_Toc30617"/>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0"/>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2" w:name="_Toc28967"/>
      <w:r>
        <w:rPr>
          <w:rFonts w:hint="eastAsia" w:ascii="方正仿宋_GBK" w:hAnsi="宋体" w:eastAsia="方正仿宋_GBK" w:cs="Times New Roman"/>
          <w:color w:val="auto"/>
          <w:sz w:val="24"/>
          <w:szCs w:val="24"/>
        </w:rPr>
        <w:t>合同包括以下内容：</w:t>
      </w:r>
      <w:bookmarkEnd w:id="92"/>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3" w:name="_Toc54718204"/>
      <w:bookmarkStart w:id="94" w:name="_Toc19446"/>
      <w:r>
        <w:rPr>
          <w:rFonts w:hint="eastAsia" w:ascii="微软雅黑" w:hAnsi="微软雅黑" w:eastAsia="微软雅黑" w:cs="微软雅黑"/>
          <w:color w:val="auto"/>
          <w:sz w:val="24"/>
          <w:szCs w:val="24"/>
        </w:rPr>
        <w:t>三、合同价格</w:t>
      </w:r>
      <w:bookmarkEnd w:id="93"/>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25177"/>
      <w:bookmarkStart w:id="96"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7"/>
    </w:p>
    <w:p>
      <w:pPr>
        <w:pStyle w:val="3"/>
        <w:spacing w:line="240" w:lineRule="auto"/>
        <w:rPr>
          <w:rFonts w:hint="eastAsia" w:ascii="微软雅黑" w:hAnsi="微软雅黑" w:eastAsia="微软雅黑" w:cs="微软雅黑"/>
          <w:color w:val="auto"/>
          <w:sz w:val="24"/>
          <w:szCs w:val="24"/>
        </w:rPr>
      </w:pPr>
      <w:bookmarkStart w:id="98" w:name="_Toc848"/>
      <w:r>
        <w:rPr>
          <w:rFonts w:hint="eastAsia" w:ascii="微软雅黑" w:hAnsi="微软雅黑" w:eastAsia="微软雅黑" w:cs="微软雅黑"/>
          <w:color w:val="auto"/>
          <w:sz w:val="24"/>
          <w:szCs w:val="24"/>
        </w:rPr>
        <w:t>四、转包或分包</w:t>
      </w:r>
      <w:bookmarkEnd w:id="96"/>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1"/>
    </w:p>
    <w:p>
      <w:pPr>
        <w:pStyle w:val="3"/>
        <w:spacing w:line="240" w:lineRule="auto"/>
        <w:rPr>
          <w:rFonts w:hint="eastAsia" w:ascii="微软雅黑" w:hAnsi="微软雅黑" w:eastAsia="微软雅黑" w:cs="微软雅黑"/>
          <w:color w:val="auto"/>
          <w:sz w:val="24"/>
          <w:szCs w:val="24"/>
        </w:rPr>
      </w:pPr>
      <w:bookmarkStart w:id="102" w:name="_Toc54718206"/>
      <w:bookmarkStart w:id="103" w:name="_Toc26722"/>
      <w:r>
        <w:rPr>
          <w:rFonts w:hint="eastAsia" w:ascii="微软雅黑" w:hAnsi="微软雅黑" w:eastAsia="微软雅黑" w:cs="微软雅黑"/>
          <w:color w:val="auto"/>
          <w:sz w:val="24"/>
          <w:szCs w:val="24"/>
        </w:rPr>
        <w:t>五、质量保证及售后服务</w:t>
      </w:r>
      <w:bookmarkEnd w:id="102"/>
      <w:bookmarkEnd w:id="103"/>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4" w:name="_Toc12985"/>
      <w:bookmarkStart w:id="105"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4"/>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5"/>
    </w:p>
    <w:p>
      <w:pPr>
        <w:pStyle w:val="3"/>
        <w:spacing w:line="240" w:lineRule="auto"/>
        <w:rPr>
          <w:rFonts w:hint="eastAsia" w:ascii="微软雅黑" w:hAnsi="微软雅黑" w:eastAsia="微软雅黑" w:cs="微软雅黑"/>
          <w:color w:val="auto"/>
          <w:sz w:val="24"/>
          <w:szCs w:val="24"/>
        </w:rPr>
      </w:pPr>
      <w:bookmarkStart w:id="106" w:name="_Toc54718207"/>
      <w:bookmarkStart w:id="107" w:name="_Toc24183"/>
      <w:r>
        <w:rPr>
          <w:rFonts w:hint="eastAsia" w:ascii="微软雅黑" w:hAnsi="微软雅黑" w:eastAsia="微软雅黑" w:cs="微软雅黑"/>
          <w:color w:val="auto"/>
          <w:sz w:val="24"/>
          <w:szCs w:val="24"/>
        </w:rPr>
        <w:t>六、付款</w:t>
      </w:r>
      <w:bookmarkEnd w:id="106"/>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3183"/>
      <w:r>
        <w:rPr>
          <w:rFonts w:hint="eastAsia" w:ascii="方正仿宋_GBK" w:hAnsi="宋体" w:eastAsia="方正仿宋_GBK" w:cs="Times New Roman"/>
          <w:color w:val="auto"/>
          <w:sz w:val="24"/>
          <w:szCs w:val="24"/>
        </w:rPr>
        <w:t>（一）本合同使用货币币制如未作特别说明均为人民币。</w:t>
      </w:r>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8880"/>
      <w:r>
        <w:rPr>
          <w:rFonts w:hint="eastAsia" w:ascii="方正仿宋_GBK" w:hAnsi="宋体" w:eastAsia="方正仿宋_GBK" w:cs="Times New Roman"/>
          <w:color w:val="auto"/>
          <w:sz w:val="24"/>
          <w:szCs w:val="24"/>
        </w:rPr>
        <w:t>（二）付款方式：银行转账。</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0"/>
    </w:p>
    <w:p>
      <w:pPr>
        <w:pStyle w:val="3"/>
        <w:spacing w:line="240" w:lineRule="auto"/>
        <w:rPr>
          <w:rFonts w:hint="eastAsia" w:ascii="微软雅黑" w:hAnsi="微软雅黑" w:eastAsia="微软雅黑" w:cs="微软雅黑"/>
          <w:color w:val="auto"/>
          <w:sz w:val="24"/>
          <w:szCs w:val="24"/>
        </w:rPr>
      </w:pPr>
      <w:bookmarkStart w:id="111" w:name="_Toc54718211"/>
      <w:bookmarkStart w:id="112" w:name="_Toc30795"/>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1"/>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5382"/>
      <w:r>
        <w:rPr>
          <w:rFonts w:hint="eastAsia" w:ascii="方正仿宋_GBK" w:hAnsi="宋体" w:eastAsia="方正仿宋_GBK" w:cs="Times New Roman"/>
          <w:color w:val="auto"/>
          <w:sz w:val="24"/>
          <w:szCs w:val="24"/>
        </w:rPr>
        <w:t>（一）当事人友好协商达成一致</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9926"/>
      <w:r>
        <w:rPr>
          <w:rFonts w:hint="eastAsia" w:ascii="方正仿宋_GBK" w:hAnsi="宋体" w:eastAsia="方正仿宋_GBK" w:cs="Times New Roman"/>
          <w:color w:val="auto"/>
          <w:sz w:val="24"/>
          <w:szCs w:val="24"/>
        </w:rPr>
        <w:t>（二）</w:t>
      </w:r>
      <w:bookmarkEnd w:id="114"/>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5" w:name="_Toc54718210"/>
      <w:bookmarkStart w:id="116" w:name="_Toc31719"/>
      <w:bookmarkStart w:id="117"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5"/>
      <w:bookmarkEnd w:id="116"/>
    </w:p>
    <w:p>
      <w:pPr>
        <w:snapToGrid w:val="0"/>
        <w:spacing w:line="400" w:lineRule="exact"/>
        <w:ind w:firstLine="480" w:firstLineChars="200"/>
        <w:rPr>
          <w:rFonts w:hint="eastAsia" w:ascii="方正仿宋_GBK" w:hAnsi="宋体" w:eastAsia="方正仿宋_GBK"/>
          <w:color w:val="auto"/>
          <w:sz w:val="24"/>
          <w:szCs w:val="24"/>
        </w:rPr>
      </w:pPr>
      <w:bookmarkStart w:id="118"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8"/>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9" w:name="_Toc17287"/>
      <w:r>
        <w:rPr>
          <w:rFonts w:hint="eastAsia" w:ascii="方正仿宋_GBK" w:hAnsi="宋体" w:eastAsia="方正仿宋_GBK"/>
          <w:color w:val="auto"/>
          <w:sz w:val="24"/>
          <w:szCs w:val="24"/>
        </w:rPr>
        <w:t>（二）若涉及软件开发等服务类项目知识产权的，知识产权归医院所有。</w:t>
      </w:r>
      <w:bookmarkEnd w:id="119"/>
    </w:p>
    <w:p>
      <w:pPr>
        <w:pStyle w:val="3"/>
        <w:spacing w:line="240" w:lineRule="auto"/>
        <w:rPr>
          <w:rFonts w:hint="eastAsia" w:ascii="微软雅黑" w:hAnsi="微软雅黑" w:eastAsia="微软雅黑" w:cs="微软雅黑"/>
          <w:color w:val="auto"/>
          <w:sz w:val="24"/>
          <w:szCs w:val="24"/>
        </w:rPr>
      </w:pPr>
      <w:bookmarkStart w:id="120" w:name="_Toc13002"/>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7"/>
      <w:bookmarkEnd w:id="120"/>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1"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2" w:name="_Toc14024"/>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1"/>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7071"/>
      <w:r>
        <w:rPr>
          <w:rFonts w:hint="eastAsia" w:ascii="方正仿宋_GBK" w:hAnsi="宋体" w:eastAsia="方正仿宋_GBK" w:cs="Times New Roman"/>
          <w:color w:val="auto"/>
          <w:sz w:val="24"/>
          <w:szCs w:val="24"/>
        </w:rPr>
        <w:t>（一）合同生效及其效力应符合《中华人民共和国民法典》有关规定。</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28233"/>
      <w:r>
        <w:rPr>
          <w:rFonts w:hint="eastAsia" w:ascii="方正仿宋_GBK" w:hAnsi="宋体" w:eastAsia="方正仿宋_GBK" w:cs="Times New Roman"/>
          <w:color w:val="auto"/>
          <w:sz w:val="24"/>
          <w:szCs w:val="24"/>
        </w:rPr>
        <w:t>（四）合同需提供担保的，按《中华人民共和国担保法》规定执行。</w:t>
      </w:r>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7"/>
    </w:p>
    <w:bookmarkEnd w:id="80"/>
    <w:bookmarkEnd w:id="81"/>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8" w:name="_Hlt41879464"/>
      <w:bookmarkEnd w:id="128"/>
      <w:bookmarkStart w:id="129" w:name="_Toc12789072"/>
      <w:bookmarkStart w:id="130" w:name="_Toc485108795"/>
      <w:bookmarkStart w:id="131" w:name="_Toc28173"/>
      <w:r>
        <w:rPr>
          <w:rFonts w:hint="eastAsia" w:ascii="微软雅黑" w:hAnsi="微软雅黑" w:eastAsia="微软雅黑" w:cs="微软雅黑"/>
          <w:b/>
          <w:color w:val="auto"/>
          <w:sz w:val="36"/>
          <w:szCs w:val="36"/>
        </w:rPr>
        <w:t>第六篇  响应文件格式要求</w:t>
      </w:r>
      <w:bookmarkEnd w:id="129"/>
      <w:bookmarkEnd w:id="130"/>
      <w:bookmarkEnd w:id="131"/>
    </w:p>
    <w:p>
      <w:pPr>
        <w:pStyle w:val="3"/>
        <w:spacing w:line="240" w:lineRule="auto"/>
        <w:rPr>
          <w:rFonts w:hint="eastAsia" w:ascii="微软雅黑" w:hAnsi="微软雅黑" w:eastAsia="微软雅黑" w:cs="微软雅黑"/>
          <w:color w:val="auto"/>
          <w:sz w:val="24"/>
          <w:szCs w:val="24"/>
        </w:rPr>
      </w:pPr>
      <w:bookmarkStart w:id="132" w:name="_Toc9591"/>
      <w:r>
        <w:rPr>
          <w:rFonts w:hint="eastAsia" w:ascii="微软雅黑" w:hAnsi="微软雅黑" w:eastAsia="微软雅黑" w:cs="微软雅黑"/>
          <w:color w:val="auto"/>
          <w:sz w:val="24"/>
          <w:szCs w:val="24"/>
        </w:rPr>
        <w:t>一、经济部分</w:t>
      </w:r>
      <w:bookmarkEnd w:id="132"/>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3" w:name="_Toc12989"/>
      <w:r>
        <w:rPr>
          <w:rFonts w:hint="eastAsia" w:ascii="微软雅黑" w:hAnsi="微软雅黑" w:eastAsia="微软雅黑" w:cs="微软雅黑"/>
          <w:color w:val="auto"/>
          <w:sz w:val="24"/>
          <w:szCs w:val="24"/>
        </w:rPr>
        <w:t>二、服务部分</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4" w:name="_Toc20170"/>
      <w:r>
        <w:rPr>
          <w:rFonts w:hint="eastAsia" w:ascii="微软雅黑" w:hAnsi="微软雅黑" w:eastAsia="微软雅黑" w:cs="微软雅黑"/>
          <w:color w:val="auto"/>
          <w:sz w:val="24"/>
          <w:szCs w:val="24"/>
        </w:rPr>
        <w:t>三、商务部分</w:t>
      </w:r>
      <w:bookmarkEnd w:id="134"/>
    </w:p>
    <w:p>
      <w:pPr>
        <w:snapToGrid w:val="0"/>
        <w:spacing w:line="360" w:lineRule="auto"/>
        <w:ind w:firstLine="480" w:firstLineChars="200"/>
        <w:rPr>
          <w:rFonts w:hint="eastAsia" w:ascii="微软雅黑" w:hAnsi="微软雅黑" w:eastAsia="微软雅黑" w:cs="微软雅黑"/>
          <w:color w:val="auto"/>
          <w:sz w:val="24"/>
          <w:szCs w:val="24"/>
        </w:rPr>
      </w:pPr>
      <w:bookmarkStart w:id="135" w:name="_Toc38358147"/>
      <w:bookmarkStart w:id="136" w:name="OLE_LINK10"/>
      <w:bookmarkStart w:id="137" w:name="OLE_LINK11"/>
      <w:r>
        <w:rPr>
          <w:rFonts w:hint="eastAsia" w:ascii="微软雅黑" w:hAnsi="微软雅黑" w:eastAsia="微软雅黑" w:cs="微软雅黑"/>
          <w:color w:val="auto"/>
          <w:sz w:val="24"/>
          <w:szCs w:val="24"/>
        </w:rPr>
        <w:t>（一）按照“第四篇  项目商务需求”提供相应资料</w:t>
      </w:r>
      <w:bookmarkEnd w:id="135"/>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8" w:name="_Toc21423"/>
      <w:r>
        <w:rPr>
          <w:rFonts w:hint="eastAsia" w:ascii="微软雅黑" w:hAnsi="微软雅黑" w:eastAsia="微软雅黑" w:cs="微软雅黑"/>
          <w:color w:val="auto"/>
          <w:sz w:val="24"/>
          <w:szCs w:val="24"/>
        </w:rPr>
        <w:t>四、资格条件及其他</w:t>
      </w:r>
      <w:bookmarkEnd w:id="138"/>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9" w:name="_Toc3022"/>
      <w:r>
        <w:rPr>
          <w:rFonts w:hint="eastAsia" w:ascii="微软雅黑" w:hAnsi="微软雅黑" w:eastAsia="微软雅黑" w:cs="微软雅黑"/>
          <w:color w:val="auto"/>
          <w:sz w:val="24"/>
          <w:szCs w:val="24"/>
        </w:rPr>
        <w:t>五、其他应提供的资料</w:t>
      </w:r>
      <w:bookmarkEnd w:id="139"/>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6"/>
    <w:bookmarkEnd w:id="137"/>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b/>
          <w:color w:val="auto"/>
        </w:rPr>
      </w:pPr>
      <w:bookmarkStart w:id="140" w:name="_Toc480979018"/>
      <w:bookmarkStart w:id="141" w:name="_Toc342913419"/>
      <w:bookmarkStart w:id="142" w:name="_Toc485108796"/>
      <w:bookmarkStart w:id="143" w:name="_Toc313888360"/>
      <w:bookmarkStart w:id="144" w:name="_Toc313008356"/>
      <w:bookmarkStart w:id="145" w:name="_Toc283382454"/>
      <w:bookmarkStart w:id="146" w:name="_Toc12789073"/>
      <w:r>
        <w:rPr>
          <w:rFonts w:hint="eastAsia"/>
          <w:b/>
          <w:color w:val="auto"/>
        </w:rPr>
        <w:t>经济部分</w:t>
      </w:r>
      <w:bookmarkEnd w:id="140"/>
      <w:bookmarkEnd w:id="141"/>
      <w:bookmarkEnd w:id="142"/>
      <w:bookmarkEnd w:id="143"/>
      <w:bookmarkEnd w:id="144"/>
    </w:p>
    <w:p>
      <w:pPr>
        <w:pStyle w:val="180"/>
        <w:ind w:left="450" w:firstLine="0" w:firstLineChars="0"/>
        <w:rPr>
          <w:b/>
          <w:color w:val="auto"/>
        </w:rPr>
      </w:pPr>
    </w:p>
    <w:bookmarkEnd w:id="145"/>
    <w:bookmarkEnd w:id="146"/>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asciiTheme="minorEastAsia" w:hAnsiTheme="minorEastAsia" w:eastAsiaTheme="minorEastAsia"/>
          <w:color w:val="auto"/>
          <w:sz w:val="28"/>
          <w:szCs w:val="28"/>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放射工作场所、诊疗设备性能和防护检测服务</w:t>
      </w:r>
    </w:p>
    <w:tbl>
      <w:tblPr>
        <w:tblStyle w:val="58"/>
        <w:tblpPr w:leftFromText="180" w:rightFromText="180" w:vertAnchor="text" w:horzAnchor="margin" w:tblpXSpec="center" w:tblpY="421"/>
        <w:tblW w:w="7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69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402" w:type="dxa"/>
            <w:vAlign w:val="center"/>
          </w:tcPr>
          <w:p>
            <w:pPr>
              <w:spacing w:line="360" w:lineRule="auto"/>
              <w:jc w:val="center"/>
              <w:rPr>
                <w:rFonts w:ascii="宋体" w:hAnsi="宋体"/>
                <w:color w:val="auto"/>
                <w:sz w:val="24"/>
              </w:rPr>
            </w:pPr>
            <w:r>
              <w:rPr>
                <w:rFonts w:hint="eastAsia" w:ascii="宋体" w:hAnsi="宋体"/>
                <w:color w:val="auto"/>
                <w:sz w:val="24"/>
              </w:rPr>
              <w:t>名 称</w:t>
            </w:r>
          </w:p>
        </w:tc>
        <w:tc>
          <w:tcPr>
            <w:tcW w:w="2693" w:type="dxa"/>
            <w:vAlign w:val="center"/>
          </w:tcPr>
          <w:p>
            <w:pPr>
              <w:spacing w:line="360" w:lineRule="auto"/>
              <w:jc w:val="center"/>
              <w:rPr>
                <w:rFonts w:ascii="宋体" w:hAnsi="宋体"/>
                <w:color w:val="auto"/>
                <w:sz w:val="24"/>
              </w:rPr>
            </w:pPr>
            <w:r>
              <w:rPr>
                <w:rFonts w:hint="eastAsia" w:ascii="宋体" w:hAnsi="宋体"/>
                <w:color w:val="auto"/>
                <w:sz w:val="24"/>
              </w:rPr>
              <w:t>费用（元）</w:t>
            </w:r>
          </w:p>
        </w:tc>
        <w:tc>
          <w:tcPr>
            <w:tcW w:w="1418" w:type="dxa"/>
            <w:vAlign w:val="center"/>
          </w:tcPr>
          <w:p>
            <w:pPr>
              <w:spacing w:line="360" w:lineRule="auto"/>
              <w:jc w:val="center"/>
              <w:rPr>
                <w:rFonts w:ascii="宋体" w:hAnsi="宋体"/>
                <w:color w:val="auto"/>
                <w:sz w:val="24"/>
              </w:rPr>
            </w:pPr>
            <w:r>
              <w:rPr>
                <w:rFonts w:hint="eastAsia" w:ascii="宋体" w:hAnsi="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402" w:type="dxa"/>
            <w:vAlign w:val="center"/>
          </w:tcPr>
          <w:p>
            <w:pPr>
              <w:spacing w:line="360" w:lineRule="auto"/>
              <w:jc w:val="center"/>
              <w:rPr>
                <w:rFonts w:ascii="宋体" w:hAnsi="宋体"/>
                <w:color w:val="auto"/>
                <w:sz w:val="24"/>
              </w:rPr>
            </w:pPr>
            <w:r>
              <w:rPr>
                <w:rFonts w:hint="eastAsia" w:ascii="宋体" w:hAnsi="宋体"/>
                <w:color w:val="auto"/>
                <w:sz w:val="24"/>
              </w:rPr>
              <w:t>服务费</w:t>
            </w:r>
          </w:p>
        </w:tc>
        <w:tc>
          <w:tcPr>
            <w:tcW w:w="2693" w:type="dxa"/>
            <w:vAlign w:val="center"/>
          </w:tcPr>
          <w:p>
            <w:pPr>
              <w:spacing w:line="360" w:lineRule="auto"/>
              <w:jc w:val="center"/>
              <w:rPr>
                <w:rFonts w:ascii="宋体" w:hAnsi="宋体"/>
                <w:color w:val="auto"/>
                <w:sz w:val="24"/>
              </w:rPr>
            </w:pPr>
          </w:p>
        </w:tc>
        <w:tc>
          <w:tcPr>
            <w:tcW w:w="1418" w:type="dxa"/>
            <w:vAlign w:val="center"/>
          </w:tcPr>
          <w:p>
            <w:pPr>
              <w:spacing w:line="360" w:lineRule="auto"/>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402" w:type="dxa"/>
            <w:vAlign w:val="center"/>
          </w:tcPr>
          <w:p>
            <w:pPr>
              <w:spacing w:line="360" w:lineRule="auto"/>
              <w:jc w:val="center"/>
              <w:rPr>
                <w:rFonts w:ascii="宋体" w:hAnsi="宋体"/>
                <w:color w:val="auto"/>
                <w:sz w:val="24"/>
              </w:rPr>
            </w:pPr>
            <w:r>
              <w:rPr>
                <w:rFonts w:hint="eastAsia" w:ascii="宋体" w:hAnsi="宋体"/>
                <w:color w:val="auto"/>
                <w:sz w:val="24"/>
              </w:rPr>
              <w:t>工期</w:t>
            </w:r>
          </w:p>
        </w:tc>
        <w:tc>
          <w:tcPr>
            <w:tcW w:w="4111" w:type="dxa"/>
            <w:gridSpan w:val="2"/>
            <w:vAlign w:val="center"/>
          </w:tcPr>
          <w:p>
            <w:pPr>
              <w:spacing w:line="360" w:lineRule="auto"/>
              <w:jc w:val="center"/>
              <w:rPr>
                <w:rFonts w:ascii="宋体" w:hAnsi="宋体"/>
                <w:color w:val="auto"/>
                <w:sz w:val="24"/>
              </w:rPr>
            </w:pPr>
            <w:r>
              <w:rPr>
                <w:rFonts w:hint="eastAsia" w:ascii="宋体" w:hAnsi="宋体"/>
                <w:color w:val="auto"/>
                <w:sz w:val="24"/>
                <w:u w:val="single"/>
              </w:rPr>
              <w:t xml:space="preserve">        </w:t>
            </w:r>
            <w:r>
              <w:rPr>
                <w:rFonts w:hint="eastAsia" w:ascii="宋体" w:hAnsi="宋体"/>
                <w:color w:val="auto"/>
                <w:sz w:val="24"/>
              </w:rPr>
              <w:t>（天）</w:t>
            </w:r>
          </w:p>
        </w:tc>
      </w:tr>
    </w:tbl>
    <w:p>
      <w:pPr>
        <w:spacing w:line="360" w:lineRule="auto"/>
        <w:rPr>
          <w:rFonts w:ascii="方正仿宋_GBK" w:hAnsi="宋体" w:eastAsia="方正仿宋_GBK" w:cs="Times New Roman"/>
          <w:color w:val="auto"/>
          <w:sz w:val="24"/>
          <w:szCs w:val="24"/>
        </w:rPr>
      </w:pPr>
    </w:p>
    <w:p>
      <w:pPr>
        <w:spacing w:line="360" w:lineRule="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hint="eastAsia" w:ascii="方正仿宋_GBK" w:hAnsi="宋体" w:eastAsia="方正仿宋_GBK" w:cs="Times New Roman"/>
          <w:color w:val="auto"/>
          <w:sz w:val="24"/>
          <w:szCs w:val="24"/>
        </w:rPr>
      </w:pPr>
    </w:p>
    <w:p>
      <w:pPr>
        <w:spacing w:line="360" w:lineRule="auto"/>
        <w:rPr>
          <w:rFonts w:hint="eastAsia" w:ascii="方正仿宋_GBK" w:hAnsi="宋体" w:eastAsia="方正仿宋_GBK" w:cs="Times New Roman"/>
          <w:color w:val="auto"/>
          <w:sz w:val="24"/>
          <w:szCs w:val="24"/>
        </w:rPr>
      </w:pPr>
    </w:p>
    <w:p>
      <w:pPr>
        <w:spacing w:line="560" w:lineRule="exact"/>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备注：报价包含但不限于服务费、差旅费、住宿费、保险费、税费等各项费用。</w:t>
      </w:r>
    </w:p>
    <w:p>
      <w:pPr>
        <w:spacing w:line="360" w:lineRule="auto"/>
        <w:rPr>
          <w:rFonts w:hint="eastAsia" w:ascii="方正仿宋_GBK" w:hAnsi="宋体" w:eastAsia="方正仿宋_GBK" w:cs="Times New Roman"/>
          <w:color w:val="auto"/>
          <w:sz w:val="24"/>
          <w:szCs w:val="24"/>
        </w:rPr>
      </w:pPr>
    </w:p>
    <w:p>
      <w:pPr>
        <w:spacing w:line="360" w:lineRule="auto"/>
        <w:rPr>
          <w:rFonts w:hint="eastAsia" w:ascii="方正仿宋_GBK" w:hAnsi="宋体" w:eastAsia="方正仿宋_GBK" w:cs="Times New Roman"/>
          <w:color w:val="auto"/>
          <w:sz w:val="24"/>
          <w:szCs w:val="24"/>
        </w:rPr>
      </w:pPr>
    </w:p>
    <w:p>
      <w:pPr>
        <w:spacing w:line="360" w:lineRule="auto"/>
        <w:ind w:firstLine="6240" w:firstLineChars="2600"/>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auto"/>
        </w:rPr>
      </w:pPr>
      <w:bookmarkStart w:id="147" w:name="_Toc342913420"/>
      <w:bookmarkStart w:id="148" w:name="_Toc313008357"/>
      <w:bookmarkStart w:id="149" w:name="_Toc485108797"/>
      <w:bookmarkStart w:id="150" w:name="_Toc313888361"/>
      <w:bookmarkStart w:id="151" w:name="_Toc480979019"/>
      <w:r>
        <w:rPr>
          <w:rFonts w:hint="eastAsia"/>
          <w:b/>
          <w:color w:val="auto"/>
        </w:rPr>
        <w:t>二、服务部分</w:t>
      </w:r>
      <w:bookmarkEnd w:id="147"/>
      <w:bookmarkEnd w:id="148"/>
      <w:bookmarkEnd w:id="149"/>
      <w:bookmarkEnd w:id="150"/>
      <w:bookmarkEnd w:id="151"/>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2" w:name="_Toc342913421"/>
      <w:bookmarkStart w:id="153" w:name="_Toc480979020"/>
      <w:bookmarkStart w:id="154" w:name="_Toc313008358"/>
      <w:bookmarkStart w:id="155" w:name="_Toc313888362"/>
      <w:bookmarkStart w:id="156" w:name="_Toc485108798"/>
      <w:r>
        <w:rPr>
          <w:rFonts w:hint="eastAsia"/>
          <w:b/>
          <w:color w:val="auto"/>
        </w:rPr>
        <w:t>三、商务部分</w:t>
      </w:r>
      <w:bookmarkEnd w:id="152"/>
      <w:bookmarkEnd w:id="153"/>
      <w:bookmarkEnd w:id="154"/>
      <w:bookmarkEnd w:id="155"/>
      <w:bookmarkEnd w:id="156"/>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7"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7"/>
      <w:bookmarkStart w:id="158" w:name="_Toc342913422"/>
      <w:bookmarkStart w:id="159" w:name="_Toc313008359"/>
      <w:bookmarkStart w:id="160"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8"/>
      <w:bookmarkEnd w:id="159"/>
      <w:bookmarkEnd w:id="160"/>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61" w:name="OLE_LINK4"/>
      <w:bookmarkStart w:id="162"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61"/>
    <w:bookmarkEnd w:id="162"/>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3" w:name="_Toc27212"/>
      <w:bookmarkStart w:id="164" w:name="_Toc31463"/>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3"/>
    <w:bookmarkEnd w:id="164"/>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汉仪旗黑-55">
    <w:altName w:val="黑体"/>
    <w:panose1 w:val="00000000000000000000"/>
    <w:charset w:val="00"/>
    <w:family w:val="auto"/>
    <w:pitch w:val="default"/>
    <w:sig w:usb0="00000000" w:usb1="00000000" w:usb2="00000000" w:usb3="00000000" w:csb0="0000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MS Shell Dlg">
    <w:altName w:val="Microsoft Sans Serif"/>
    <w:panose1 w:val="020B0604020202020204"/>
    <w:charset w:val="00"/>
    <w:family w:val="swiss"/>
    <w:pitch w:val="default"/>
    <w:sig w:usb0="00000000" w:usb1="00000000" w:usb2="00000008" w:usb3="00000000" w:csb0="000101FF"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C931BB2"/>
    <w:rsid w:val="0E0E625A"/>
    <w:rsid w:val="0E4D3D6E"/>
    <w:rsid w:val="0E5721EA"/>
    <w:rsid w:val="0E5A796A"/>
    <w:rsid w:val="0E5B6625"/>
    <w:rsid w:val="0E9859A3"/>
    <w:rsid w:val="0ECE4584"/>
    <w:rsid w:val="0F291536"/>
    <w:rsid w:val="0FAB0EE6"/>
    <w:rsid w:val="0FD61CDB"/>
    <w:rsid w:val="10246EEB"/>
    <w:rsid w:val="10413B50"/>
    <w:rsid w:val="104D689B"/>
    <w:rsid w:val="106B3469"/>
    <w:rsid w:val="109D57E0"/>
    <w:rsid w:val="134E0964"/>
    <w:rsid w:val="14B95EDB"/>
    <w:rsid w:val="14C6168E"/>
    <w:rsid w:val="15604521"/>
    <w:rsid w:val="18130842"/>
    <w:rsid w:val="181D0637"/>
    <w:rsid w:val="19394057"/>
    <w:rsid w:val="19B7492C"/>
    <w:rsid w:val="1B925650"/>
    <w:rsid w:val="1C0025BA"/>
    <w:rsid w:val="1CED540D"/>
    <w:rsid w:val="1CF736B7"/>
    <w:rsid w:val="1D632E00"/>
    <w:rsid w:val="1DD87EDC"/>
    <w:rsid w:val="1E9D4968"/>
    <w:rsid w:val="1ECB792E"/>
    <w:rsid w:val="1F2D0A6E"/>
    <w:rsid w:val="1F6D6E4A"/>
    <w:rsid w:val="1FCE723D"/>
    <w:rsid w:val="203372B2"/>
    <w:rsid w:val="204C6181"/>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8B6AAF"/>
    <w:rsid w:val="28CD4235"/>
    <w:rsid w:val="28D01566"/>
    <w:rsid w:val="28E31299"/>
    <w:rsid w:val="2BBD2276"/>
    <w:rsid w:val="2F1F1F02"/>
    <w:rsid w:val="2F2348BD"/>
    <w:rsid w:val="2F6F1AD9"/>
    <w:rsid w:val="2FD06C0B"/>
    <w:rsid w:val="30A44277"/>
    <w:rsid w:val="32050A97"/>
    <w:rsid w:val="32284BF5"/>
    <w:rsid w:val="32DA1DD4"/>
    <w:rsid w:val="33323C73"/>
    <w:rsid w:val="3361798A"/>
    <w:rsid w:val="34477E1A"/>
    <w:rsid w:val="348053A3"/>
    <w:rsid w:val="34B44507"/>
    <w:rsid w:val="35687566"/>
    <w:rsid w:val="35B15F88"/>
    <w:rsid w:val="35D501BC"/>
    <w:rsid w:val="35E87A5C"/>
    <w:rsid w:val="369E4A52"/>
    <w:rsid w:val="36A73740"/>
    <w:rsid w:val="375A306E"/>
    <w:rsid w:val="38442273"/>
    <w:rsid w:val="38C010B0"/>
    <w:rsid w:val="391C67AE"/>
    <w:rsid w:val="39486CC3"/>
    <w:rsid w:val="39A3534F"/>
    <w:rsid w:val="3B30241A"/>
    <w:rsid w:val="3C4F6F1A"/>
    <w:rsid w:val="3DD60FEB"/>
    <w:rsid w:val="3E263CAA"/>
    <w:rsid w:val="3E491747"/>
    <w:rsid w:val="3E6B192F"/>
    <w:rsid w:val="3EA55BAC"/>
    <w:rsid w:val="3F591E5E"/>
    <w:rsid w:val="40113C23"/>
    <w:rsid w:val="403F2E01"/>
    <w:rsid w:val="40E52488"/>
    <w:rsid w:val="41007A8F"/>
    <w:rsid w:val="415869FC"/>
    <w:rsid w:val="41AB14E8"/>
    <w:rsid w:val="41D67141"/>
    <w:rsid w:val="42030507"/>
    <w:rsid w:val="429D5EC0"/>
    <w:rsid w:val="444565A3"/>
    <w:rsid w:val="461B60BF"/>
    <w:rsid w:val="475461C4"/>
    <w:rsid w:val="477A0BC3"/>
    <w:rsid w:val="47F3755A"/>
    <w:rsid w:val="481450E7"/>
    <w:rsid w:val="48FA020D"/>
    <w:rsid w:val="492C6FBB"/>
    <w:rsid w:val="499D1F70"/>
    <w:rsid w:val="4A1025A8"/>
    <w:rsid w:val="4AC26B09"/>
    <w:rsid w:val="4AD41B9B"/>
    <w:rsid w:val="4AED1C9D"/>
    <w:rsid w:val="4B912CFD"/>
    <w:rsid w:val="4BE8259F"/>
    <w:rsid w:val="4C4E289A"/>
    <w:rsid w:val="4EF70D4B"/>
    <w:rsid w:val="4F2E0C11"/>
    <w:rsid w:val="4F79418A"/>
    <w:rsid w:val="50FE286B"/>
    <w:rsid w:val="514069D9"/>
    <w:rsid w:val="51D77CAA"/>
    <w:rsid w:val="52ED493F"/>
    <w:rsid w:val="531F0FF7"/>
    <w:rsid w:val="55297C80"/>
    <w:rsid w:val="56644F18"/>
    <w:rsid w:val="56FF2E93"/>
    <w:rsid w:val="58B574EB"/>
    <w:rsid w:val="58FC1D80"/>
    <w:rsid w:val="593509FB"/>
    <w:rsid w:val="59E56370"/>
    <w:rsid w:val="5AD4278B"/>
    <w:rsid w:val="5B3E21DC"/>
    <w:rsid w:val="5B4A5024"/>
    <w:rsid w:val="5BC414F3"/>
    <w:rsid w:val="5BE01908"/>
    <w:rsid w:val="5CAE15E3"/>
    <w:rsid w:val="5D290C69"/>
    <w:rsid w:val="5F3F2DAC"/>
    <w:rsid w:val="5FB15C3A"/>
    <w:rsid w:val="6022194E"/>
    <w:rsid w:val="60D65D3F"/>
    <w:rsid w:val="60F4333C"/>
    <w:rsid w:val="611A50B4"/>
    <w:rsid w:val="619C43F3"/>
    <w:rsid w:val="6269072D"/>
    <w:rsid w:val="62A30CCB"/>
    <w:rsid w:val="64114B3C"/>
    <w:rsid w:val="645A13DB"/>
    <w:rsid w:val="66815672"/>
    <w:rsid w:val="6972525B"/>
    <w:rsid w:val="69FC5E8B"/>
    <w:rsid w:val="6B217424"/>
    <w:rsid w:val="6B28360F"/>
    <w:rsid w:val="6B9F4D55"/>
    <w:rsid w:val="6BAA3DD9"/>
    <w:rsid w:val="6DC70D5C"/>
    <w:rsid w:val="6E45126B"/>
    <w:rsid w:val="6F062BB9"/>
    <w:rsid w:val="6F213E8F"/>
    <w:rsid w:val="6F675548"/>
    <w:rsid w:val="70E64A50"/>
    <w:rsid w:val="71231A63"/>
    <w:rsid w:val="715E3B3F"/>
    <w:rsid w:val="739465A0"/>
    <w:rsid w:val="73B34AD5"/>
    <w:rsid w:val="76A25BAA"/>
    <w:rsid w:val="783A1618"/>
    <w:rsid w:val="786A6708"/>
    <w:rsid w:val="788222E3"/>
    <w:rsid w:val="7908485F"/>
    <w:rsid w:val="7936053E"/>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character" w:customStyle="1" w:styleId="267">
    <w:name w:val="font61"/>
    <w:basedOn w:val="60"/>
    <w:qFormat/>
    <w:uiPriority w:val="0"/>
    <w:rPr>
      <w:rFonts w:hint="default" w:ascii="汉仪旗黑-55" w:hAnsi="汉仪旗黑-55" w:eastAsia="汉仪旗黑-55" w:cs="汉仪旗黑-55"/>
      <w:b/>
      <w:bCs/>
      <w:color w:val="000000"/>
      <w:sz w:val="40"/>
      <w:szCs w:val="40"/>
      <w:u w:val="none"/>
    </w:rPr>
  </w:style>
  <w:style w:type="character" w:customStyle="1" w:styleId="268">
    <w:name w:val="font121"/>
    <w:basedOn w:val="60"/>
    <w:qFormat/>
    <w:uiPriority w:val="0"/>
    <w:rPr>
      <w:rFonts w:hint="eastAsia" w:ascii="宋体" w:hAnsi="宋体" w:eastAsia="宋体" w:cs="宋体"/>
      <w:b/>
      <w:bCs/>
      <w:color w:val="000000"/>
      <w:sz w:val="40"/>
      <w:szCs w:val="4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9</TotalTime>
  <ScaleCrop>false</ScaleCrop>
  <LinksUpToDate>false</LinksUpToDate>
  <CharactersWithSpaces>18825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2023-10-12T09:43:22Z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