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2023FW011</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专利代理服务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六</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485108766"/>
      <w:bookmarkStart w:id="1" w:name="_Toc25875"/>
      <w:bookmarkStart w:id="2" w:name="_Toc12789052"/>
      <w:bookmarkStart w:id="3" w:name="_Toc11641050"/>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专利代理服务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485108767"/>
      <w:bookmarkStart w:id="7" w:name="_Toc313893526"/>
      <w:bookmarkStart w:id="8" w:name="_Toc317775175"/>
      <w:bookmarkStart w:id="9" w:name="_Toc28443"/>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096"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4"/>
        <w:gridCol w:w="2568"/>
        <w:gridCol w:w="2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594"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68" w:type="dxa"/>
          </w:tcPr>
          <w:p>
            <w:pPr>
              <w:spacing w:line="400" w:lineRule="exact"/>
              <w:ind w:left="720" w:hanging="720" w:hangingChars="3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934"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594"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专利代理服务</w:t>
            </w:r>
          </w:p>
        </w:tc>
        <w:tc>
          <w:tcPr>
            <w:tcW w:w="2568" w:type="dxa"/>
            <w:vAlign w:val="center"/>
          </w:tcPr>
          <w:p>
            <w:pPr>
              <w:spacing w:line="400" w:lineRule="exact"/>
              <w:ind w:firstLine="480" w:firstLineChars="200"/>
              <w:jc w:val="center"/>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lang w:val="en-US" w:eastAsia="zh-CN"/>
              </w:rPr>
              <w:t>3</w:t>
            </w:r>
          </w:p>
        </w:tc>
        <w:tc>
          <w:tcPr>
            <w:tcW w:w="2934" w:type="dxa"/>
            <w:vAlign w:val="center"/>
          </w:tcPr>
          <w:p>
            <w:pPr>
              <w:spacing w:line="400" w:lineRule="exact"/>
              <w:ind w:firstLine="480" w:firstLineChars="200"/>
              <w:jc w:val="center"/>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服务期限：三年</w:t>
            </w: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spacing w:line="480" w:lineRule="exact"/>
        <w:ind w:firstLine="480" w:firstLineChars="200"/>
        <w:rPr>
          <w:rFonts w:hint="eastAsia" w:ascii="方正仿宋_GBK" w:hAnsi="宋体" w:eastAsia="方正仿宋_GBK" w:cs="Times New Roman"/>
          <w:color w:val="auto"/>
          <w:sz w:val="24"/>
          <w:szCs w:val="24"/>
        </w:rPr>
      </w:pPr>
      <w:bookmarkStart w:id="16" w:name="_Toc11958"/>
      <w:bookmarkStart w:id="17" w:name="_Toc6"/>
      <w:bookmarkStart w:id="18" w:name="_Toc485108774"/>
      <w:bookmarkStart w:id="19" w:name="_Toc102227313"/>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人应是经中华人民共和国国家知识产权局批准成立的知识产权代理机构，在中华人民共和国境内注册，能够独立承担民事责任，有专利服务能力</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在</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件中提供资格的各种证照、资信证明等复印文件。</w:t>
      </w:r>
    </w:p>
    <w:p>
      <w:pPr>
        <w:spacing w:line="48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人具有生物或医学相关专职专利代理人3名以上。</w:t>
      </w:r>
    </w:p>
    <w:p>
      <w:pPr>
        <w:spacing w:line="48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响应人具有丰富的从业经验，近3年平均每年办理专利申请代理件数在1500件以上，其中发明专利申请代理件数为300件以上，以上数据以在国家知识产权局官方网站所查询得到的投标人所代理专利（发明专利）获得公告（公开）数量为准。</w:t>
      </w:r>
    </w:p>
    <w:p>
      <w:pPr>
        <w:spacing w:line="480" w:lineRule="exact"/>
        <w:rPr>
          <w:rFonts w:hint="default" w:ascii="方正仿宋_GBK" w:hAnsi="宋体" w:eastAsia="方正仿宋_GBK" w:cs="Times New Roman"/>
          <w:color w:val="auto"/>
          <w:sz w:val="24"/>
          <w:szCs w:val="24"/>
          <w:lang w:val="en-US" w:eastAsia="zh-CN"/>
        </w:rPr>
      </w:pP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25</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25</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15</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0时至2023年</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30</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15</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待定，见官网公告。</w:t>
      </w:r>
      <w:bookmarkStart w:id="167" w:name="_GoBack"/>
      <w:bookmarkEnd w:id="167"/>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718176"/>
      <w:bookmarkStart w:id="24" w:name="_Toc373860294"/>
      <w:bookmarkStart w:id="25" w:name="_Toc54171062"/>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130"/>
      <w:bookmarkStart w:id="29" w:name="_Toc3139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响应人</w:t>
      </w:r>
      <w:r>
        <w:rPr>
          <w:rFonts w:hint="eastAsia" w:ascii="方正仿宋_GBK" w:hAnsi="宋体" w:eastAsia="方正仿宋_GBK" w:cs="Times New Roman"/>
          <w:color w:val="auto"/>
          <w:sz w:val="24"/>
          <w:szCs w:val="24"/>
        </w:rPr>
        <w:t>按照报价表进行报价，报价包含服务费、税费等所有费用，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8"/>
      <w:bookmarkStart w:id="37" w:name="OLE_LINK9"/>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8122"/>
      <w:bookmarkStart w:id="40" w:name="_Toc342913393"/>
      <w:bookmarkStart w:id="41" w:name="_Toc403569780"/>
      <w:bookmarkStart w:id="42" w:name="_Toc179714298"/>
      <w:bookmarkStart w:id="43" w:name="_Toc102227319"/>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2880"/>
      <w:bookmarkStart w:id="58" w:name="_Toc17413"/>
      <w:bookmarkStart w:id="59" w:name="_Toc403569784"/>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5" w:name="_Toc485108784"/>
      <w:bookmarkStart w:id="66"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rPr>
          <w:rFonts w:ascii="Times New Roman" w:hAnsi="Times New Roman" w:eastAsia="宋体" w:cs="Times New Roman"/>
          <w:color w:val="auto"/>
          <w:sz w:val="28"/>
          <w:szCs w:val="20"/>
        </w:rPr>
      </w:pPr>
    </w:p>
    <w:p>
      <w:pPr>
        <w:widowControl/>
        <w:shd w:val="clear" w:color="auto" w:fill="FFFFFF"/>
        <w:spacing w:line="450" w:lineRule="atLeast"/>
        <w:ind w:firstLine="480" w:firstLineChars="200"/>
        <w:jc w:val="left"/>
        <w:rPr>
          <w:rFonts w:hint="eastAsia" w:ascii="微软雅黑" w:hAnsi="微软雅黑" w:eastAsia="微软雅黑" w:cs="微软雅黑"/>
          <w:b/>
          <w:color w:val="auto"/>
          <w:kern w:val="2"/>
          <w:sz w:val="24"/>
          <w:szCs w:val="24"/>
          <w:lang w:val="en-US" w:eastAsia="zh-CN" w:bidi="ar-SA"/>
        </w:rPr>
      </w:pPr>
      <w:bookmarkStart w:id="67" w:name="_Toc12789058"/>
      <w:r>
        <w:rPr>
          <w:rFonts w:hint="eastAsia" w:ascii="微软雅黑" w:hAnsi="微软雅黑" w:eastAsia="微软雅黑" w:cs="微软雅黑"/>
          <w:b/>
          <w:color w:val="auto"/>
          <w:kern w:val="2"/>
          <w:sz w:val="24"/>
          <w:szCs w:val="24"/>
          <w:lang w:val="en-US" w:eastAsia="zh-CN" w:bidi="ar-SA"/>
        </w:rPr>
        <w:t>一、服务范围。</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1、专利申请事务，包括专利文件撰写、专利实审答复、专利无效等。</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2、专利申请费、登记费代缴。</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3、专利年费、滞纳金缴费提醒。</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4、专利许可、转让委托代理服务。</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5、对</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人提供的专利申请技术交底书内容进行检索分析，并给出相关意见。</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6、知识产权法规及政策等专利相关问题解读及咨询服务。 </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7、协助</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 xml:space="preserve">人建立专利管理台账。 </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8、员工知识产权及专利相关培训。 </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9、协助医院建立专利转化平台，并进行专利转化指导。</w:t>
      </w:r>
    </w:p>
    <w:p>
      <w:pPr>
        <w:widowControl/>
        <w:shd w:val="clear" w:color="auto" w:fill="FFFFFF"/>
        <w:spacing w:line="450" w:lineRule="atLeast"/>
        <w:ind w:firstLine="480" w:firstLineChars="200"/>
        <w:jc w:val="left"/>
        <w:rPr>
          <w:rFonts w:hint="eastAsia" w:ascii="微软雅黑" w:hAnsi="微软雅黑" w:eastAsia="微软雅黑" w:cs="微软雅黑"/>
          <w:b/>
          <w:color w:val="auto"/>
          <w:kern w:val="2"/>
          <w:sz w:val="24"/>
          <w:szCs w:val="24"/>
          <w:lang w:val="en-US" w:eastAsia="zh-CN" w:bidi="ar-SA"/>
        </w:rPr>
      </w:pPr>
      <w:r>
        <w:rPr>
          <w:rFonts w:hint="eastAsia" w:ascii="微软雅黑" w:hAnsi="微软雅黑" w:eastAsia="微软雅黑" w:cs="微软雅黑"/>
          <w:b/>
          <w:color w:val="auto"/>
          <w:kern w:val="2"/>
          <w:sz w:val="24"/>
          <w:szCs w:val="24"/>
          <w:lang w:val="en-US" w:eastAsia="zh-CN" w:bidi="ar-SA"/>
        </w:rPr>
        <w:t xml:space="preserve">二、服务要求。 </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人应指派业务能力强的资深专利代理人担任招标人专利代理人，</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 xml:space="preserve">人有以上服务范围内的需求时，可及时联络到专利代理人。 </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人及时处理</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人专利申请事务，一般应在收到</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人专利申请技术交底书后1周内完成专利撰写，在得到</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 xml:space="preserve">人对申请材料确认后2个工作日内提交专利申请。 </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3、专利代理费、申请费由</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 xml:space="preserve">人垫付。 </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人收到国家知识产权局专利局等官方机构对于</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人所代理申请专利的反馈通知时（特指受理通知书、办理登记手续通知书、专利证书），</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人应及时告知</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人相关情况，并在收到相关文件3个工作日内将扫描文件通过电子邮箱发送给</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方，纸质文件可根据</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方需求集中送至</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 xml:space="preserve">方。 </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5、必要时，根据</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人合理要求或</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人视情况赴</w:t>
      </w:r>
      <w:r>
        <w:rPr>
          <w:rFonts w:hint="eastAsia" w:ascii="方正仿宋_GBK" w:hAnsi="宋体" w:eastAsia="方正仿宋_GBK" w:cs="Times New Roman"/>
          <w:color w:val="auto"/>
          <w:sz w:val="24"/>
          <w:szCs w:val="24"/>
          <w:lang w:eastAsia="zh-CN"/>
        </w:rPr>
        <w:t>采购</w:t>
      </w:r>
      <w:r>
        <w:rPr>
          <w:rFonts w:hint="eastAsia" w:ascii="方正仿宋_GBK" w:hAnsi="宋体" w:eastAsia="方正仿宋_GBK" w:cs="Times New Roman"/>
          <w:color w:val="auto"/>
          <w:sz w:val="24"/>
          <w:szCs w:val="24"/>
        </w:rPr>
        <w:t xml:space="preserve">人所在地处理相关专利事宜。 </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8" w:name="_Toc28327"/>
      <w:bookmarkStart w:id="69" w:name="_Toc48510878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7"/>
      <w:bookmarkEnd w:id="68"/>
      <w:bookmarkEnd w:id="69"/>
      <w:bookmarkStart w:id="70" w:name="_Toc12789059"/>
      <w:bookmarkStart w:id="71" w:name="_Toc11641055"/>
    </w:p>
    <w:p>
      <w:pPr>
        <w:pStyle w:val="3"/>
        <w:spacing w:line="240" w:lineRule="auto"/>
        <w:rPr>
          <w:rFonts w:hint="eastAsia" w:ascii="微软雅黑" w:hAnsi="微软雅黑" w:eastAsia="微软雅黑" w:cs="微软雅黑"/>
          <w:color w:val="auto"/>
          <w:sz w:val="24"/>
          <w:szCs w:val="24"/>
        </w:rPr>
      </w:pPr>
      <w:bookmarkStart w:id="72" w:name="_Toc485108788"/>
      <w:bookmarkStart w:id="73" w:name="_Toc2302"/>
      <w:bookmarkStart w:id="74" w:name="_Toc344475121"/>
      <w:r>
        <w:rPr>
          <w:rFonts w:hint="eastAsia" w:ascii="微软雅黑" w:hAnsi="微软雅黑" w:eastAsia="微软雅黑" w:cs="微软雅黑"/>
          <w:color w:val="auto"/>
          <w:sz w:val="24"/>
          <w:szCs w:val="24"/>
        </w:rPr>
        <w:t>一、服务</w:t>
      </w:r>
      <w:r>
        <w:rPr>
          <w:rFonts w:hint="eastAsia" w:ascii="微软雅黑" w:hAnsi="微软雅黑" w:eastAsia="微软雅黑" w:cs="微软雅黑"/>
          <w:color w:val="auto"/>
          <w:sz w:val="24"/>
          <w:szCs w:val="24"/>
          <w:lang w:eastAsia="zh-CN"/>
        </w:rPr>
        <w:t>时间、</w:t>
      </w:r>
      <w:r>
        <w:rPr>
          <w:rFonts w:hint="eastAsia" w:ascii="微软雅黑" w:hAnsi="微软雅黑" w:eastAsia="微软雅黑" w:cs="微软雅黑"/>
          <w:color w:val="auto"/>
          <w:sz w:val="24"/>
          <w:szCs w:val="24"/>
        </w:rPr>
        <w:t>地点</w:t>
      </w:r>
      <w:bookmarkEnd w:id="72"/>
      <w:bookmarkEnd w:id="73"/>
    </w:p>
    <w:p>
      <w:pPr>
        <w:spacing w:line="400" w:lineRule="exact"/>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服务时间</w:t>
      </w:r>
      <w:r>
        <w:rPr>
          <w:rFonts w:hint="eastAsia" w:ascii="方正仿宋_GBK" w:hAnsi="宋体" w:eastAsia="方正仿宋_GBK" w:cs="Times New Roman"/>
          <w:b w:val="0"/>
          <w:color w:val="auto"/>
          <w:kern w:val="2"/>
          <w:sz w:val="24"/>
          <w:szCs w:val="24"/>
          <w:lang w:val="en-US" w:eastAsia="zh-CN" w:bidi="ar-SA"/>
        </w:rPr>
        <w:t>：服务期限三年。</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b w:val="0"/>
          <w:color w:val="auto"/>
          <w:kern w:val="2"/>
          <w:sz w:val="24"/>
          <w:szCs w:val="24"/>
          <w:lang w:val="en-US" w:eastAsia="zh-CN" w:bidi="ar-SA"/>
        </w:rPr>
        <w:t>（二）</w:t>
      </w:r>
      <w:r>
        <w:rPr>
          <w:rFonts w:hint="eastAsia" w:ascii="方正仿宋_GBK" w:hAnsi="宋体" w:eastAsia="方正仿宋_GBK" w:cs="Times New Roman"/>
          <w:color w:val="auto"/>
          <w:sz w:val="24"/>
          <w:szCs w:val="24"/>
        </w:rPr>
        <w:t xml:space="preserve">服务地点：重庆医科大学附属永川医院。 </w:t>
      </w:r>
    </w:p>
    <w:bookmarkEnd w:id="74"/>
    <w:p>
      <w:pPr>
        <w:pStyle w:val="3"/>
        <w:spacing w:line="240" w:lineRule="auto"/>
        <w:rPr>
          <w:rFonts w:hint="eastAsia" w:ascii="微软雅黑" w:hAnsi="微软雅黑" w:eastAsia="微软雅黑" w:cs="微软雅黑"/>
          <w:color w:val="auto"/>
          <w:sz w:val="24"/>
          <w:szCs w:val="24"/>
        </w:rPr>
      </w:pPr>
      <w:bookmarkStart w:id="75" w:name="_Toc15905"/>
      <w:bookmarkStart w:id="76" w:name="_Toc344475122"/>
      <w:bookmarkStart w:id="77" w:name="_Toc485108790"/>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75"/>
      <w:bookmarkEnd w:id="76"/>
      <w:bookmarkEnd w:id="77"/>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响应人按照报价表进行报价，报价包含服务费、税费等所有费用。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auto"/>
          <w:sz w:val="24"/>
          <w:szCs w:val="24"/>
          <w:lang w:eastAsia="zh-CN"/>
        </w:rPr>
      </w:pPr>
      <w:bookmarkStart w:id="78" w:name="_Toc7358"/>
      <w:bookmarkStart w:id="79" w:name="_Toc485108793"/>
      <w:bookmarkStart w:id="80" w:name="_Toc403569795"/>
      <w:r>
        <w:rPr>
          <w:rFonts w:hint="eastAsia" w:ascii="方正仿宋_GBK" w:hAnsi="宋体" w:eastAsia="方正仿宋_GBK" w:cs="Times New Roman"/>
          <w:color w:val="auto"/>
          <w:sz w:val="24"/>
          <w:szCs w:val="24"/>
          <w:lang w:eastAsia="zh-CN"/>
        </w:rPr>
        <w:t>成交供应商按期完成各项代理服务后，每月5日前由申请人提供上个月的数量清单和正规发票（遇到法定节假日时，延长至工作日上班第一天），经采购方审核无误后于60日内转账支付费用。</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三</w:t>
      </w:r>
      <w:bookmarkStart w:id="81" w:name="_Toc11645"/>
      <w:r>
        <w:rPr>
          <w:rFonts w:hint="eastAsia" w:ascii="微软雅黑" w:hAnsi="微软雅黑" w:eastAsia="微软雅黑" w:cs="微软雅黑"/>
          <w:color w:val="auto"/>
          <w:sz w:val="24"/>
          <w:szCs w:val="24"/>
        </w:rPr>
        <w:t>、知识产权</w:t>
      </w:r>
      <w:bookmarkEnd w:id="8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78"/>
      <w:bookmarkEnd w:id="79"/>
      <w:bookmarkEnd w:id="8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0"/>
      <w:bookmarkEnd w:id="71"/>
      <w:bookmarkStart w:id="82" w:name="_Toc14840"/>
      <w:bookmarkStart w:id="83" w:name="_Toc485108794"/>
      <w:bookmarkStart w:id="84" w:name="_Toc403569796"/>
      <w:bookmarkStart w:id="85" w:name="_Toc148265480"/>
      <w:bookmarkStart w:id="86" w:name="_Toc303945820"/>
      <w:r>
        <w:rPr>
          <w:rFonts w:hint="eastAsia" w:ascii="微软雅黑" w:hAnsi="微软雅黑" w:eastAsia="微软雅黑" w:cs="微软雅黑"/>
          <w:b/>
          <w:color w:val="auto"/>
          <w:sz w:val="36"/>
          <w:szCs w:val="36"/>
        </w:rPr>
        <w:t>第五篇  合同草案条款</w:t>
      </w:r>
      <w:bookmarkEnd w:id="82"/>
      <w:bookmarkEnd w:id="83"/>
      <w:bookmarkEnd w:id="84"/>
    </w:p>
    <w:p>
      <w:pPr>
        <w:pStyle w:val="3"/>
        <w:spacing w:line="240" w:lineRule="auto"/>
        <w:rPr>
          <w:rFonts w:hint="eastAsia" w:ascii="微软雅黑" w:hAnsi="微软雅黑" w:eastAsia="微软雅黑" w:cs="微软雅黑"/>
          <w:color w:val="auto"/>
          <w:sz w:val="24"/>
          <w:szCs w:val="24"/>
        </w:rPr>
      </w:pPr>
      <w:bookmarkStart w:id="87" w:name="_Toc30815"/>
      <w:bookmarkStart w:id="88" w:name="_Toc54718202"/>
      <w:r>
        <w:rPr>
          <w:rFonts w:hint="eastAsia" w:ascii="微软雅黑" w:hAnsi="微软雅黑" w:eastAsia="微软雅黑" w:cs="微软雅黑"/>
          <w:color w:val="auto"/>
          <w:sz w:val="24"/>
          <w:szCs w:val="24"/>
        </w:rPr>
        <w:t>一、定义</w:t>
      </w:r>
      <w:bookmarkEnd w:id="87"/>
      <w:bookmarkEnd w:id="88"/>
    </w:p>
    <w:p>
      <w:pPr>
        <w:snapToGrid w:val="0"/>
        <w:spacing w:line="400" w:lineRule="exact"/>
        <w:ind w:firstLine="480" w:firstLineChars="200"/>
        <w:jc w:val="left"/>
        <w:rPr>
          <w:rFonts w:ascii="方正仿宋_GBK" w:hAnsi="宋体" w:eastAsia="方正仿宋_GBK" w:cs="Times New Roman"/>
          <w:color w:val="auto"/>
          <w:sz w:val="24"/>
          <w:szCs w:val="24"/>
        </w:rPr>
      </w:pPr>
      <w:bookmarkStart w:id="89" w:name="_Toc988"/>
      <w:r>
        <w:rPr>
          <w:rFonts w:hint="eastAsia" w:ascii="方正仿宋_GBK" w:hAnsi="宋体" w:eastAsia="方正仿宋_GBK" w:cs="Times New Roman"/>
          <w:color w:val="auto"/>
          <w:sz w:val="24"/>
          <w:szCs w:val="24"/>
        </w:rPr>
        <w:t>（一）甲方（需方）即重庆医科大学附属永川医院。</w:t>
      </w:r>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2"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93"/>
    </w:p>
    <w:p>
      <w:pPr>
        <w:pStyle w:val="3"/>
        <w:spacing w:line="240" w:lineRule="auto"/>
        <w:rPr>
          <w:rFonts w:hint="eastAsia" w:ascii="微软雅黑" w:hAnsi="微软雅黑" w:eastAsia="微软雅黑" w:cs="微软雅黑"/>
          <w:color w:val="auto"/>
          <w:sz w:val="24"/>
          <w:szCs w:val="24"/>
        </w:rPr>
      </w:pPr>
      <w:bookmarkStart w:id="94" w:name="_Toc54718203"/>
      <w:bookmarkStart w:id="95"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94"/>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8967"/>
      <w:r>
        <w:rPr>
          <w:rFonts w:hint="eastAsia" w:ascii="方正仿宋_GBK" w:hAnsi="宋体" w:eastAsia="方正仿宋_GBK" w:cs="Times New Roman"/>
          <w:color w:val="auto"/>
          <w:sz w:val="24"/>
          <w:szCs w:val="24"/>
        </w:rPr>
        <w:t>合同包括以下内容：</w:t>
      </w:r>
      <w:bookmarkEnd w:id="96"/>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7" w:name="_Toc54718204"/>
      <w:bookmarkStart w:id="98" w:name="_Toc8853"/>
      <w:r>
        <w:rPr>
          <w:rFonts w:hint="eastAsia" w:ascii="微软雅黑" w:hAnsi="微软雅黑" w:eastAsia="微软雅黑" w:cs="微软雅黑"/>
          <w:color w:val="auto"/>
          <w:sz w:val="24"/>
          <w:szCs w:val="24"/>
        </w:rPr>
        <w:t>三、合同价格</w:t>
      </w:r>
      <w:bookmarkEnd w:id="97"/>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25177"/>
      <w:bookmarkStart w:id="100"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服务内容单价</w:t>
      </w:r>
      <w:r>
        <w:rPr>
          <w:rFonts w:hint="eastAsia" w:ascii="方正仿宋_GBK" w:hAnsi="宋体" w:eastAsia="方正仿宋_GBK" w:cs="Times New Roman"/>
          <w:color w:val="auto"/>
          <w:sz w:val="24"/>
          <w:szCs w:val="24"/>
        </w:rPr>
        <w:t>。</w:t>
      </w:r>
      <w:bookmarkEnd w:id="99"/>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方正仿宋_GBK" w:hAnsi="宋体" w:eastAsia="方正仿宋_GBK" w:cs="Times New Roman"/>
          <w:color w:val="auto"/>
          <w:sz w:val="24"/>
          <w:szCs w:val="24"/>
        </w:rPr>
      </w:pPr>
      <w:bookmarkStart w:id="101" w:name="_Toc3890"/>
      <w:r>
        <w:rPr>
          <w:rFonts w:hint="eastAsia" w:ascii="方正仿宋_GBK" w:hAnsi="宋体" w:eastAsia="方正仿宋_GBK" w:cs="Times New Roman"/>
          <w:color w:val="auto"/>
          <w:sz w:val="24"/>
          <w:szCs w:val="24"/>
        </w:rPr>
        <w:t>（二）合同价格包含但不限</w:t>
      </w:r>
      <w:bookmarkEnd w:id="101"/>
      <w:r>
        <w:rPr>
          <w:rFonts w:hint="eastAsia" w:ascii="方正仿宋_GBK" w:hAnsi="宋体" w:eastAsia="方正仿宋_GBK" w:cs="Times New Roman"/>
          <w:color w:val="auto"/>
          <w:sz w:val="24"/>
          <w:szCs w:val="24"/>
          <w:lang w:eastAsia="zh-CN"/>
        </w:rPr>
        <w:t>于服务费、税费等所有费用。</w:t>
      </w:r>
    </w:p>
    <w:p>
      <w:pPr>
        <w:pStyle w:val="3"/>
        <w:spacing w:line="240" w:lineRule="auto"/>
        <w:rPr>
          <w:rFonts w:hint="eastAsia" w:ascii="微软雅黑" w:hAnsi="微软雅黑" w:eastAsia="微软雅黑" w:cs="微软雅黑"/>
          <w:color w:val="auto"/>
          <w:sz w:val="24"/>
          <w:szCs w:val="24"/>
        </w:rPr>
      </w:pPr>
      <w:bookmarkStart w:id="102" w:name="_Toc24410"/>
      <w:r>
        <w:rPr>
          <w:rFonts w:hint="eastAsia" w:ascii="微软雅黑" w:hAnsi="微软雅黑" w:eastAsia="微软雅黑" w:cs="微软雅黑"/>
          <w:color w:val="auto"/>
          <w:sz w:val="24"/>
          <w:szCs w:val="24"/>
        </w:rPr>
        <w:t>四、转包或分包</w:t>
      </w:r>
      <w:bookmarkEnd w:id="100"/>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05"/>
    </w:p>
    <w:p>
      <w:pPr>
        <w:pStyle w:val="3"/>
        <w:spacing w:line="240" w:lineRule="auto"/>
        <w:rPr>
          <w:rFonts w:hint="eastAsia" w:ascii="微软雅黑" w:hAnsi="微软雅黑" w:eastAsia="微软雅黑" w:cs="微软雅黑"/>
          <w:color w:val="auto"/>
          <w:sz w:val="24"/>
          <w:szCs w:val="24"/>
        </w:rPr>
      </w:pPr>
      <w:bookmarkStart w:id="106" w:name="_Toc54718206"/>
      <w:bookmarkStart w:id="107" w:name="_Toc2241"/>
      <w:r>
        <w:rPr>
          <w:rFonts w:hint="eastAsia" w:ascii="微软雅黑" w:hAnsi="微软雅黑" w:eastAsia="微软雅黑" w:cs="微软雅黑"/>
          <w:color w:val="auto"/>
          <w:sz w:val="24"/>
          <w:szCs w:val="24"/>
        </w:rPr>
        <w:t>五、质量保证及售后服务</w:t>
      </w:r>
      <w:bookmarkEnd w:id="106"/>
      <w:bookmarkEnd w:id="10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8" w:name="_Toc12985"/>
      <w:bookmarkStart w:id="109"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9"/>
    </w:p>
    <w:p>
      <w:pPr>
        <w:pStyle w:val="3"/>
        <w:spacing w:line="240" w:lineRule="auto"/>
        <w:rPr>
          <w:rFonts w:hint="eastAsia" w:ascii="微软雅黑" w:hAnsi="微软雅黑" w:eastAsia="微软雅黑" w:cs="微软雅黑"/>
          <w:color w:val="auto"/>
          <w:sz w:val="24"/>
          <w:szCs w:val="24"/>
        </w:rPr>
      </w:pPr>
      <w:bookmarkStart w:id="110" w:name="_Toc9053"/>
      <w:bookmarkStart w:id="111" w:name="_Toc54718207"/>
      <w:r>
        <w:rPr>
          <w:rFonts w:hint="eastAsia" w:ascii="微软雅黑" w:hAnsi="微软雅黑" w:eastAsia="微软雅黑" w:cs="微软雅黑"/>
          <w:color w:val="auto"/>
          <w:sz w:val="24"/>
          <w:szCs w:val="24"/>
        </w:rPr>
        <w:t>六、付款</w:t>
      </w:r>
      <w:bookmarkEnd w:id="110"/>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3183"/>
      <w:r>
        <w:rPr>
          <w:rFonts w:hint="eastAsia" w:ascii="方正仿宋_GBK" w:hAnsi="宋体" w:eastAsia="方正仿宋_GBK" w:cs="Times New Roman"/>
          <w:color w:val="auto"/>
          <w:sz w:val="24"/>
          <w:szCs w:val="24"/>
        </w:rPr>
        <w:t>（一）本合同使用货币币制如未作特别说明均为人民币。</w:t>
      </w:r>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8880"/>
      <w:r>
        <w:rPr>
          <w:rFonts w:hint="eastAsia" w:ascii="方正仿宋_GBK" w:hAnsi="宋体" w:eastAsia="方正仿宋_GBK" w:cs="Times New Roman"/>
          <w:color w:val="auto"/>
          <w:sz w:val="24"/>
          <w:szCs w:val="24"/>
        </w:rPr>
        <w:t>（二）付款方式：银行转账。</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14"/>
    </w:p>
    <w:p>
      <w:pPr>
        <w:pStyle w:val="3"/>
        <w:spacing w:line="240" w:lineRule="auto"/>
        <w:rPr>
          <w:rFonts w:hint="eastAsia" w:ascii="微软雅黑" w:hAnsi="微软雅黑" w:eastAsia="微软雅黑" w:cs="微软雅黑"/>
          <w:color w:val="auto"/>
          <w:sz w:val="24"/>
          <w:szCs w:val="24"/>
        </w:rPr>
      </w:pPr>
      <w:bookmarkStart w:id="115" w:name="_Toc54718211"/>
      <w:bookmarkStart w:id="116"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15"/>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7" w:name="_Toc5382"/>
      <w:r>
        <w:rPr>
          <w:rFonts w:hint="eastAsia" w:ascii="方正仿宋_GBK" w:hAnsi="宋体" w:eastAsia="方正仿宋_GBK" w:cs="Times New Roman"/>
          <w:color w:val="auto"/>
          <w:sz w:val="24"/>
          <w:szCs w:val="24"/>
        </w:rPr>
        <w:t>（一）当事人友好协商达成一致</w:t>
      </w:r>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29926"/>
      <w:r>
        <w:rPr>
          <w:rFonts w:hint="eastAsia" w:ascii="方正仿宋_GBK" w:hAnsi="宋体" w:eastAsia="方正仿宋_GBK" w:cs="Times New Roman"/>
          <w:color w:val="auto"/>
          <w:sz w:val="24"/>
          <w:szCs w:val="24"/>
        </w:rPr>
        <w:t>（二）</w:t>
      </w:r>
      <w:bookmarkEnd w:id="118"/>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9" w:name="_Toc54718210"/>
      <w:bookmarkStart w:id="120" w:name="_Toc31719"/>
      <w:bookmarkStart w:id="121" w:name="_Toc54718212"/>
      <w:bookmarkStart w:id="122"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9"/>
      <w:bookmarkEnd w:id="120"/>
    </w:p>
    <w:p>
      <w:pPr>
        <w:snapToGrid w:val="0"/>
        <w:spacing w:line="400" w:lineRule="exact"/>
        <w:ind w:firstLine="480" w:firstLineChars="200"/>
        <w:rPr>
          <w:rFonts w:hint="eastAsia" w:ascii="方正仿宋_GBK" w:hAnsi="宋体" w:eastAsia="方正仿宋_GBK"/>
          <w:color w:val="auto"/>
          <w:sz w:val="24"/>
          <w:szCs w:val="24"/>
        </w:rPr>
      </w:pPr>
      <w:bookmarkStart w:id="123"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3"/>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24" w:name="_Toc17287"/>
      <w:r>
        <w:rPr>
          <w:rFonts w:hint="eastAsia" w:ascii="方正仿宋_GBK" w:hAnsi="宋体" w:eastAsia="方正仿宋_GBK"/>
          <w:color w:val="auto"/>
          <w:sz w:val="24"/>
          <w:szCs w:val="24"/>
        </w:rPr>
        <w:t>（二）若涉及软件开发等服务类项目知识产权的，知识产权归医院所有。</w:t>
      </w:r>
      <w:bookmarkEnd w:id="124"/>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21"/>
      <w:bookmarkEnd w:id="12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25"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6"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25"/>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7071"/>
      <w:r>
        <w:rPr>
          <w:rFonts w:hint="eastAsia" w:ascii="方正仿宋_GBK" w:hAnsi="宋体" w:eastAsia="方正仿宋_GBK" w:cs="Times New Roman"/>
          <w:color w:val="auto"/>
          <w:sz w:val="24"/>
          <w:szCs w:val="24"/>
        </w:rPr>
        <w:t>（一）合同生效及其效力应符合《中华人民共和国民法典》有关规定。</w:t>
      </w:r>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8233"/>
      <w:r>
        <w:rPr>
          <w:rFonts w:hint="eastAsia" w:ascii="方正仿宋_GBK" w:hAnsi="宋体" w:eastAsia="方正仿宋_GBK" w:cs="Times New Roman"/>
          <w:color w:val="auto"/>
          <w:sz w:val="24"/>
          <w:szCs w:val="24"/>
        </w:rPr>
        <w:t>（四）合同需提供担保的，按《中华人民共和国担保法》规定执行。</w:t>
      </w:r>
      <w:bookmarkEnd w:id="130"/>
    </w:p>
    <w:p>
      <w:pPr>
        <w:snapToGrid w:val="0"/>
        <w:spacing w:line="400" w:lineRule="exact"/>
        <w:ind w:firstLine="480" w:firstLineChars="200"/>
        <w:jc w:val="left"/>
        <w:rPr>
          <w:rFonts w:ascii="方正仿宋_GBK" w:hAnsi="宋体" w:eastAsia="方正仿宋_GBK" w:cs="Times New Roman"/>
          <w:color w:val="auto"/>
          <w:sz w:val="24"/>
          <w:szCs w:val="24"/>
        </w:rPr>
      </w:pPr>
      <w:bookmarkStart w:id="131"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1"/>
    </w:p>
    <w:bookmarkEnd w:id="85"/>
    <w:bookmarkEnd w:id="86"/>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2" w:name="_Hlt41879464"/>
      <w:bookmarkEnd w:id="132"/>
      <w:bookmarkStart w:id="133" w:name="_Toc12789072"/>
      <w:bookmarkStart w:id="134" w:name="_Toc13696"/>
      <w:bookmarkStart w:id="135" w:name="_Toc485108795"/>
      <w:r>
        <w:rPr>
          <w:rFonts w:hint="eastAsia" w:ascii="微软雅黑" w:hAnsi="微软雅黑" w:eastAsia="微软雅黑" w:cs="微软雅黑"/>
          <w:b/>
          <w:color w:val="auto"/>
          <w:sz w:val="36"/>
          <w:szCs w:val="36"/>
        </w:rPr>
        <w:t>第六篇  响应文件格式要求</w:t>
      </w:r>
      <w:bookmarkEnd w:id="133"/>
      <w:bookmarkEnd w:id="134"/>
      <w:bookmarkEnd w:id="135"/>
    </w:p>
    <w:p>
      <w:pPr>
        <w:pStyle w:val="3"/>
        <w:spacing w:line="240" w:lineRule="auto"/>
        <w:rPr>
          <w:rFonts w:hint="eastAsia" w:ascii="微软雅黑" w:hAnsi="微软雅黑" w:eastAsia="微软雅黑" w:cs="微软雅黑"/>
          <w:color w:val="auto"/>
          <w:sz w:val="24"/>
          <w:szCs w:val="24"/>
        </w:rPr>
      </w:pPr>
      <w:bookmarkStart w:id="136" w:name="_Toc27382"/>
      <w:r>
        <w:rPr>
          <w:rFonts w:hint="eastAsia" w:ascii="微软雅黑" w:hAnsi="微软雅黑" w:eastAsia="微软雅黑" w:cs="微软雅黑"/>
          <w:color w:val="auto"/>
          <w:sz w:val="24"/>
          <w:szCs w:val="24"/>
        </w:rPr>
        <w:t>一、经济部分</w:t>
      </w:r>
      <w:bookmarkEnd w:id="136"/>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7" w:name="_Toc6305"/>
      <w:r>
        <w:rPr>
          <w:rFonts w:hint="eastAsia" w:ascii="微软雅黑" w:hAnsi="微软雅黑" w:eastAsia="微软雅黑" w:cs="微软雅黑"/>
          <w:color w:val="auto"/>
          <w:sz w:val="24"/>
          <w:szCs w:val="24"/>
        </w:rPr>
        <w:t>二、服务部分</w:t>
      </w:r>
      <w:bookmarkEnd w:id="137"/>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8" w:name="_Toc7207"/>
      <w:r>
        <w:rPr>
          <w:rFonts w:hint="eastAsia" w:ascii="微软雅黑" w:hAnsi="微软雅黑" w:eastAsia="微软雅黑" w:cs="微软雅黑"/>
          <w:color w:val="auto"/>
          <w:sz w:val="24"/>
          <w:szCs w:val="24"/>
        </w:rPr>
        <w:t>三、商务部分</w:t>
      </w:r>
      <w:bookmarkEnd w:id="138"/>
    </w:p>
    <w:p>
      <w:pPr>
        <w:snapToGrid w:val="0"/>
        <w:spacing w:line="360" w:lineRule="auto"/>
        <w:ind w:firstLine="480" w:firstLineChars="200"/>
        <w:rPr>
          <w:rFonts w:hint="eastAsia" w:ascii="微软雅黑" w:hAnsi="微软雅黑" w:eastAsia="微软雅黑" w:cs="微软雅黑"/>
          <w:color w:val="auto"/>
          <w:sz w:val="24"/>
          <w:szCs w:val="24"/>
        </w:rPr>
      </w:pPr>
      <w:bookmarkStart w:id="139" w:name="_Toc38358147"/>
      <w:bookmarkStart w:id="140" w:name="OLE_LINK10"/>
      <w:bookmarkStart w:id="141" w:name="OLE_LINK11"/>
      <w:r>
        <w:rPr>
          <w:rFonts w:hint="eastAsia" w:ascii="微软雅黑" w:hAnsi="微软雅黑" w:eastAsia="微软雅黑" w:cs="微软雅黑"/>
          <w:color w:val="auto"/>
          <w:sz w:val="24"/>
          <w:szCs w:val="24"/>
        </w:rPr>
        <w:t>（一）按照“第四篇  项目商务需求”提供相应资料</w:t>
      </w:r>
      <w:bookmarkEnd w:id="13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2" w:name="_Toc18417"/>
      <w:r>
        <w:rPr>
          <w:rFonts w:hint="eastAsia" w:ascii="微软雅黑" w:hAnsi="微软雅黑" w:eastAsia="微软雅黑" w:cs="微软雅黑"/>
          <w:color w:val="auto"/>
          <w:sz w:val="24"/>
          <w:szCs w:val="24"/>
        </w:rPr>
        <w:t>四、资格条件及其他</w:t>
      </w:r>
      <w:bookmarkEnd w:id="14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3" w:name="_Toc19884"/>
      <w:r>
        <w:rPr>
          <w:rFonts w:hint="eastAsia" w:ascii="微软雅黑" w:hAnsi="微软雅黑" w:eastAsia="微软雅黑" w:cs="微软雅黑"/>
          <w:color w:val="auto"/>
          <w:sz w:val="24"/>
          <w:szCs w:val="24"/>
        </w:rPr>
        <w:t>五、其他应提供的资料</w:t>
      </w:r>
      <w:bookmarkEnd w:id="143"/>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0"/>
    <w:bookmarkEnd w:id="141"/>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44" w:name="_Toc480979018"/>
      <w:bookmarkStart w:id="145" w:name="_Toc313888360"/>
      <w:bookmarkStart w:id="146" w:name="_Toc342913419"/>
      <w:bookmarkStart w:id="147" w:name="_Toc313008356"/>
      <w:bookmarkStart w:id="148" w:name="_Toc485108796"/>
      <w:bookmarkStart w:id="149" w:name="_Toc283382454"/>
      <w:bookmarkStart w:id="150" w:name="_Toc12789073"/>
      <w:r>
        <w:rPr>
          <w:rFonts w:hint="eastAsia"/>
          <w:b/>
          <w:color w:val="auto"/>
        </w:rPr>
        <w:t>经济部分</w:t>
      </w:r>
      <w:bookmarkEnd w:id="144"/>
      <w:bookmarkEnd w:id="145"/>
      <w:bookmarkEnd w:id="146"/>
      <w:bookmarkEnd w:id="147"/>
      <w:bookmarkEnd w:id="148"/>
    </w:p>
    <w:p>
      <w:pPr>
        <w:pStyle w:val="180"/>
        <w:ind w:left="450" w:firstLine="0" w:firstLineChars="0"/>
        <w:rPr>
          <w:b/>
          <w:color w:val="auto"/>
        </w:rPr>
      </w:pPr>
    </w:p>
    <w:bookmarkEnd w:id="149"/>
    <w:bookmarkEnd w:id="150"/>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u w:val="single"/>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专利代理服务</w:t>
      </w:r>
    </w:p>
    <w:tbl>
      <w:tblPr>
        <w:tblStyle w:val="58"/>
        <w:tblW w:w="9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3443"/>
        <w:gridCol w:w="2160"/>
        <w:gridCol w:w="1897"/>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序号</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服务内容</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单价（元/件或次）</w:t>
            </w: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1"/>
                <w:lang w:eastAsia="zh-CN"/>
              </w:rPr>
            </w:pPr>
            <w:r>
              <w:rPr>
                <w:rFonts w:hint="eastAsia" w:ascii="仿宋" w:hAnsi="仿宋" w:eastAsia="仿宋" w:cs="仿宋"/>
                <w:sz w:val="22"/>
                <w:szCs w:val="21"/>
                <w:lang w:eastAsia="zh-CN"/>
              </w:rPr>
              <w:t>年预计服务数量</w:t>
            </w: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1"/>
                <w:lang w:eastAsia="zh-CN"/>
              </w:rPr>
            </w:pPr>
            <w:r>
              <w:rPr>
                <w:rFonts w:hint="eastAsia" w:ascii="仿宋" w:hAnsi="仿宋" w:eastAsia="仿宋" w:cs="仿宋"/>
                <w:sz w:val="22"/>
                <w:szCs w:val="21"/>
                <w:lang w:eastAsia="zh-CN"/>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1</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发明专利申请（专利文件撰写）</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380</w:t>
            </w: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2</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实用新型专利申请</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180</w:t>
            </w: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3</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外观设计专利申请</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50</w:t>
            </w: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4</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双报专利申请</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20</w:t>
            </w: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5</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专利实审答复</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50</w:t>
            </w: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6</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专利无效</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380</w:t>
            </w: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7</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专利申请、授权、年费代缴服务费</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380</w:t>
            </w: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8</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专利许可、转让服务（著录项变更）</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100</w:t>
            </w: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9</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专利年费、滞纳金缴费提醒</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2"/>
                <w:lang w:eastAsia="zh-CN"/>
              </w:rPr>
            </w:pPr>
            <w:r>
              <w:rPr>
                <w:rFonts w:hint="eastAsia" w:ascii="仿宋" w:hAnsi="仿宋" w:eastAsia="仿宋" w:cs="仿宋"/>
                <w:sz w:val="22"/>
                <w:szCs w:val="22"/>
                <w:lang w:eastAsia="zh-CN"/>
              </w:rPr>
              <w:t>免费</w:t>
            </w: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10</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知识产权法规及政策等专利相关问题解读及咨询服务</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2"/>
                <w:lang w:eastAsia="zh-CN"/>
              </w:rPr>
              <w:t>免费</w:t>
            </w: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11</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对招标人提供的专利申请技术交底书内容进行检索分析，并给出相关意见</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2"/>
                <w:lang w:eastAsia="zh-CN"/>
              </w:rPr>
              <w:t>免费</w:t>
            </w: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12</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协助招标人建立专利管理台账</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2"/>
                <w:lang w:eastAsia="zh-CN"/>
              </w:rPr>
              <w:t>免费</w:t>
            </w: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13</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员工知识产权及专利相关培训</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2"/>
                <w:lang w:eastAsia="zh-CN"/>
              </w:rPr>
              <w:t>免费</w:t>
            </w: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14</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1"/>
              </w:rPr>
              <w:t>协助医院建立专利转化平台，并进行专利转化指导</w:t>
            </w:r>
          </w:p>
        </w:tc>
        <w:tc>
          <w:tcPr>
            <w:tcW w:w="21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r>
              <w:rPr>
                <w:rFonts w:hint="eastAsia" w:ascii="仿宋" w:hAnsi="仿宋" w:eastAsia="仿宋" w:cs="仿宋"/>
                <w:sz w:val="22"/>
                <w:szCs w:val="22"/>
                <w:lang w:eastAsia="zh-CN"/>
              </w:rPr>
              <w:t>免费</w:t>
            </w:r>
          </w:p>
        </w:tc>
        <w:tc>
          <w:tcPr>
            <w:tcW w:w="1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仿宋" w:hAnsi="仿宋" w:eastAsia="仿宋" w:cs="仿宋"/>
                <w:sz w:val="22"/>
                <w:szCs w:val="21"/>
                <w:lang w:val="en-US" w:eastAsia="zh-CN"/>
              </w:rPr>
            </w:pPr>
            <w:r>
              <w:rPr>
                <w:rFonts w:hint="eastAsia" w:ascii="仿宋" w:hAnsi="仿宋" w:eastAsia="仿宋" w:cs="仿宋"/>
                <w:sz w:val="22"/>
                <w:szCs w:val="21"/>
                <w:lang w:val="en-US" w:eastAsia="zh-CN"/>
              </w:rPr>
              <w:t>15</w:t>
            </w:r>
          </w:p>
        </w:tc>
        <w:tc>
          <w:tcPr>
            <w:tcW w:w="3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2"/>
                <w:szCs w:val="21"/>
                <w:lang w:eastAsia="zh-CN"/>
              </w:rPr>
            </w:pPr>
            <w:r>
              <w:rPr>
                <w:rFonts w:hint="eastAsia" w:ascii="仿宋" w:hAnsi="仿宋" w:eastAsia="仿宋" w:cs="仿宋"/>
                <w:sz w:val="22"/>
                <w:szCs w:val="21"/>
                <w:lang w:eastAsia="zh-CN"/>
              </w:rPr>
              <w:t>合计</w:t>
            </w:r>
          </w:p>
        </w:tc>
        <w:tc>
          <w:tcPr>
            <w:tcW w:w="405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c>
          <w:tcPr>
            <w:tcW w:w="10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2"/>
                <w:szCs w:val="22"/>
              </w:rPr>
            </w:pPr>
          </w:p>
        </w:tc>
      </w:tr>
    </w:tbl>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w:t>
      </w:r>
      <w:r>
        <w:rPr>
          <w:rFonts w:hint="eastAsia" w:ascii="方正仿宋_GBK" w:hAnsi="宋体" w:eastAsia="方正仿宋_GBK" w:cs="Times New Roman"/>
          <w:color w:val="auto"/>
          <w:sz w:val="24"/>
          <w:szCs w:val="24"/>
        </w:rPr>
        <w:t>投标报价包含但不限于报价包含服务费、税费等所有费用</w:t>
      </w:r>
      <w:r>
        <w:rPr>
          <w:rFonts w:hint="eastAsia" w:ascii="方正仿宋_GBK" w:hAnsi="宋体" w:eastAsia="方正仿宋_GBK" w:cs="Times New Roman"/>
          <w:color w:val="auto"/>
          <w:sz w:val="24"/>
          <w:szCs w:val="24"/>
          <w:lang w:eastAsia="zh-CN"/>
        </w:rPr>
        <w:t>，但</w:t>
      </w:r>
      <w:r>
        <w:rPr>
          <w:rFonts w:hint="eastAsia" w:ascii="方正仿宋_GBK" w:hAnsi="宋体" w:eastAsia="方正仿宋_GBK" w:cs="Times New Roman"/>
          <w:color w:val="auto"/>
          <w:sz w:val="24"/>
          <w:szCs w:val="24"/>
        </w:rPr>
        <w:t>均不含知识产权局的官费部分。</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1" w:name="_Toc342913420"/>
      <w:bookmarkStart w:id="152" w:name="_Toc313888361"/>
      <w:bookmarkStart w:id="153" w:name="_Toc313008357"/>
      <w:bookmarkStart w:id="154" w:name="_Toc485108797"/>
      <w:bookmarkStart w:id="155" w:name="_Toc480979019"/>
      <w:r>
        <w:rPr>
          <w:rFonts w:hint="eastAsia"/>
          <w:b/>
          <w:color w:val="auto"/>
        </w:rPr>
        <w:t>二、服务部分</w:t>
      </w:r>
      <w:bookmarkEnd w:id="151"/>
      <w:bookmarkEnd w:id="152"/>
      <w:bookmarkEnd w:id="153"/>
      <w:bookmarkEnd w:id="154"/>
      <w:bookmarkEnd w:id="155"/>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6" w:name="_Toc342913421"/>
      <w:bookmarkStart w:id="157" w:name="_Toc313888362"/>
      <w:bookmarkStart w:id="158" w:name="_Toc480979020"/>
      <w:bookmarkStart w:id="159" w:name="_Toc485108798"/>
      <w:bookmarkStart w:id="160" w:name="_Toc313008358"/>
      <w:r>
        <w:rPr>
          <w:rFonts w:hint="eastAsia"/>
          <w:b/>
          <w:color w:val="auto"/>
        </w:rPr>
        <w:t>三、商务部分</w:t>
      </w:r>
      <w:bookmarkEnd w:id="156"/>
      <w:bookmarkEnd w:id="157"/>
      <w:bookmarkEnd w:id="158"/>
      <w:bookmarkEnd w:id="159"/>
      <w:bookmarkEnd w:id="160"/>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1"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1"/>
      <w:bookmarkStart w:id="162" w:name="_Toc313008359"/>
      <w:bookmarkStart w:id="163" w:name="_Toc342913422"/>
      <w:bookmarkStart w:id="164"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62"/>
      <w:bookmarkEnd w:id="163"/>
      <w:bookmarkEnd w:id="164"/>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65" w:name="OLE_LINK7"/>
      <w:bookmarkStart w:id="166" w:name="OLE_LINK4"/>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65"/>
    <w:bookmarkEnd w:id="166"/>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4DA26C6"/>
    <w:rsid w:val="074B1659"/>
    <w:rsid w:val="07C5765D"/>
    <w:rsid w:val="07F26429"/>
    <w:rsid w:val="0ACF458A"/>
    <w:rsid w:val="0B6F68C5"/>
    <w:rsid w:val="0BDC31C7"/>
    <w:rsid w:val="0BE1258C"/>
    <w:rsid w:val="0E0E625A"/>
    <w:rsid w:val="0E4D3D6E"/>
    <w:rsid w:val="0E5721EA"/>
    <w:rsid w:val="0E5A796A"/>
    <w:rsid w:val="0E5B6625"/>
    <w:rsid w:val="0E9859A3"/>
    <w:rsid w:val="0ECE4584"/>
    <w:rsid w:val="0F291536"/>
    <w:rsid w:val="0FAB0EE6"/>
    <w:rsid w:val="10246EEB"/>
    <w:rsid w:val="104D689B"/>
    <w:rsid w:val="109D57E0"/>
    <w:rsid w:val="129B22EB"/>
    <w:rsid w:val="12AA36D7"/>
    <w:rsid w:val="134E0964"/>
    <w:rsid w:val="14C6168E"/>
    <w:rsid w:val="18130842"/>
    <w:rsid w:val="18645220"/>
    <w:rsid w:val="19B7492C"/>
    <w:rsid w:val="1B684130"/>
    <w:rsid w:val="1B925650"/>
    <w:rsid w:val="1CED540D"/>
    <w:rsid w:val="1CF736B7"/>
    <w:rsid w:val="1CFA525B"/>
    <w:rsid w:val="1D632E00"/>
    <w:rsid w:val="1DD87EDC"/>
    <w:rsid w:val="1F6D6E4A"/>
    <w:rsid w:val="1FCE723D"/>
    <w:rsid w:val="203372B2"/>
    <w:rsid w:val="204C6181"/>
    <w:rsid w:val="20FB0BC7"/>
    <w:rsid w:val="21C45BE8"/>
    <w:rsid w:val="21F678C9"/>
    <w:rsid w:val="23743B1F"/>
    <w:rsid w:val="254D6667"/>
    <w:rsid w:val="25B67319"/>
    <w:rsid w:val="25B7688A"/>
    <w:rsid w:val="25B91E1A"/>
    <w:rsid w:val="26380176"/>
    <w:rsid w:val="271E4A07"/>
    <w:rsid w:val="275D539C"/>
    <w:rsid w:val="28BA1D43"/>
    <w:rsid w:val="28CD4235"/>
    <w:rsid w:val="28E31299"/>
    <w:rsid w:val="2BBD2276"/>
    <w:rsid w:val="2F1F1F02"/>
    <w:rsid w:val="2F2348BD"/>
    <w:rsid w:val="2F6F1AD9"/>
    <w:rsid w:val="2FD06C0B"/>
    <w:rsid w:val="30A44277"/>
    <w:rsid w:val="32050A97"/>
    <w:rsid w:val="3361798A"/>
    <w:rsid w:val="35D24B6F"/>
    <w:rsid w:val="35E87A5C"/>
    <w:rsid w:val="369E4A52"/>
    <w:rsid w:val="375A306E"/>
    <w:rsid w:val="38442273"/>
    <w:rsid w:val="38C010B0"/>
    <w:rsid w:val="391C67AE"/>
    <w:rsid w:val="39A3534F"/>
    <w:rsid w:val="3B30241A"/>
    <w:rsid w:val="3BB07515"/>
    <w:rsid w:val="3C4F6F1A"/>
    <w:rsid w:val="3D0B3190"/>
    <w:rsid w:val="3DD60FEB"/>
    <w:rsid w:val="3E263CAA"/>
    <w:rsid w:val="3E6B192F"/>
    <w:rsid w:val="3E84321C"/>
    <w:rsid w:val="41007A8F"/>
    <w:rsid w:val="415869FC"/>
    <w:rsid w:val="419453CF"/>
    <w:rsid w:val="42030507"/>
    <w:rsid w:val="461B60BF"/>
    <w:rsid w:val="475461C4"/>
    <w:rsid w:val="477A0BC3"/>
    <w:rsid w:val="47F3755A"/>
    <w:rsid w:val="492C6FBB"/>
    <w:rsid w:val="499D1F70"/>
    <w:rsid w:val="4A1025A8"/>
    <w:rsid w:val="4AC26B09"/>
    <w:rsid w:val="4AD41B9B"/>
    <w:rsid w:val="4BE8259F"/>
    <w:rsid w:val="4C4E289A"/>
    <w:rsid w:val="4DBC4202"/>
    <w:rsid w:val="4F2E0C11"/>
    <w:rsid w:val="514069D9"/>
    <w:rsid w:val="517B7F42"/>
    <w:rsid w:val="51D77CAA"/>
    <w:rsid w:val="523B78D6"/>
    <w:rsid w:val="52ED493F"/>
    <w:rsid w:val="55297C80"/>
    <w:rsid w:val="56FF2E93"/>
    <w:rsid w:val="57ED5E45"/>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4634A61"/>
    <w:rsid w:val="66815672"/>
    <w:rsid w:val="6972525B"/>
    <w:rsid w:val="69FC5E8B"/>
    <w:rsid w:val="6B217424"/>
    <w:rsid w:val="6B28360F"/>
    <w:rsid w:val="6B9F4D55"/>
    <w:rsid w:val="6BAA3DD9"/>
    <w:rsid w:val="6DC70D5C"/>
    <w:rsid w:val="6E45126B"/>
    <w:rsid w:val="6F062BB9"/>
    <w:rsid w:val="70E64A50"/>
    <w:rsid w:val="71231A63"/>
    <w:rsid w:val="72B04557"/>
    <w:rsid w:val="73B34AD5"/>
    <w:rsid w:val="775E00EB"/>
    <w:rsid w:val="783A1618"/>
    <w:rsid w:val="788222E3"/>
    <w:rsid w:val="7908485F"/>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16819</Words>
  <Characters>17461</Characters>
  <Lines>182</Lines>
  <Paragraphs>51</Paragraphs>
  <TotalTime>1</TotalTime>
  <ScaleCrop>false</ScaleCrop>
  <LinksUpToDate>false</LinksUpToDate>
  <CharactersWithSpaces>18742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2023-05-25T06:53:45Z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D90EFDEDCD294DEAB041A069E42458C9</vt:lpwstr>
  </property>
</Properties>
</file>