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2023FW009</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危险化学性废物处置服务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485108766"/>
      <w:bookmarkStart w:id="1" w:name="_Toc11641050"/>
      <w:bookmarkStart w:id="2" w:name="_Toc12789052"/>
      <w:bookmarkStart w:id="3" w:name="_Toc25875"/>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危险化学性废物处置服务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8443"/>
      <w:bookmarkStart w:id="7" w:name="_Toc485108767"/>
      <w:bookmarkStart w:id="8" w:name="_Toc313893526"/>
      <w:bookmarkStart w:id="9" w:name="_Toc317775175"/>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096"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危险化学性废物处置服务</w:t>
            </w:r>
          </w:p>
        </w:tc>
        <w:tc>
          <w:tcPr>
            <w:tcW w:w="2661"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spacing w:line="480" w:lineRule="exact"/>
        <w:ind w:firstLine="480" w:firstLineChars="200"/>
        <w:rPr>
          <w:rFonts w:hint="eastAsia" w:ascii="方正仿宋_GBK" w:hAnsi="宋体" w:eastAsia="方正仿宋_GBK" w:cs="Times New Roman"/>
          <w:color w:val="auto"/>
          <w:sz w:val="24"/>
          <w:szCs w:val="24"/>
        </w:rPr>
      </w:pPr>
      <w:bookmarkStart w:id="16" w:name="_Toc6"/>
      <w:bookmarkStart w:id="17" w:name="_Toc11958"/>
      <w:bookmarkStart w:id="18" w:name="_Toc102227313"/>
      <w:bookmarkStart w:id="19" w:name="_Toc485108774"/>
      <w:r>
        <w:rPr>
          <w:rFonts w:hint="eastAsia" w:ascii="方正仿宋_GBK" w:hAnsi="宋体" w:eastAsia="方正仿宋_GBK" w:cs="Times New Roman"/>
          <w:color w:val="auto"/>
          <w:sz w:val="24"/>
          <w:szCs w:val="24"/>
        </w:rPr>
        <w:t>有核准经营危险废物类别及规模的营业执照（备注：有HW29类含汞废物的资质）。</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9</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0时至2023年</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9</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bookmarkStart w:id="175" w:name="_GoBack"/>
      <w:bookmarkEnd w:id="175"/>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（六）响应文件递交开始时间：2023年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0</w:t>
      </w:r>
      <w:r>
        <w:rPr>
          <w:rFonts w:hint="eastAsia" w:ascii="方正仿宋_GBK" w:hAnsi="宋体" w:eastAsia="方正仿宋_GBK" w:cs="Times New Roman"/>
          <w:color w:val="auto"/>
          <w:sz w:val="24"/>
          <w:szCs w:val="24"/>
        </w:rPr>
        <w:t>0时</w:t>
      </w:r>
      <w:r>
        <w:rPr>
          <w:rFonts w:hint="eastAsia" w:ascii="方正仿宋_GBK" w:hAnsi="宋体" w:eastAsia="方正仿宋_GBK" w:cs="Times New Roman"/>
          <w:color w:val="auto"/>
          <w:sz w:val="24"/>
          <w:szCs w:val="24"/>
          <w:lang w:eastAsia="zh-CN"/>
        </w:rPr>
        <w:t>。</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rPr>
        <w:t>2023年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w:t>
      </w:r>
      <w:r>
        <w:rPr>
          <w:rFonts w:hint="eastAsia" w:ascii="方正仿宋_GBK" w:hAnsi="宋体" w:eastAsia="方正仿宋_GBK" w:cs="Times New Roman"/>
          <w:color w:val="auto"/>
          <w:sz w:val="24"/>
          <w:szCs w:val="24"/>
          <w:lang w:eastAsia="zh-CN"/>
        </w:rPr>
        <w:t>。</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rPr>
        <w:t>2023年</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0时</w:t>
      </w:r>
      <w:r>
        <w:rPr>
          <w:rFonts w:hint="eastAsia" w:ascii="方正仿宋_GBK" w:hAnsi="宋体" w:eastAsia="方正仿宋_GBK" w:cs="Times New Roman"/>
          <w:color w:val="auto"/>
          <w:sz w:val="24"/>
          <w:szCs w:val="24"/>
          <w:lang w:eastAsia="zh-CN"/>
        </w:rPr>
        <w:t>。</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服务方根据危险化学性废物种类</w:t>
      </w:r>
      <w:r>
        <w:rPr>
          <w:rFonts w:hint="eastAsia" w:ascii="方正仿宋_GBK" w:hAnsi="宋体" w:eastAsia="方正仿宋_GBK" w:cs="Times New Roman"/>
          <w:color w:val="auto"/>
          <w:sz w:val="24"/>
          <w:szCs w:val="24"/>
          <w:lang w:eastAsia="zh-CN"/>
        </w:rPr>
        <w:t>进行分项报价（详见报价表）</w:t>
      </w:r>
      <w:r>
        <w:rPr>
          <w:rFonts w:hint="eastAsia" w:ascii="方正仿宋_GBK" w:hAnsi="宋体" w:eastAsia="方正仿宋_GBK" w:cs="Times New Roman"/>
          <w:color w:val="auto"/>
          <w:sz w:val="24"/>
          <w:szCs w:val="24"/>
        </w:rPr>
        <w:t>。投标报价为包干价，包含但不限于</w:t>
      </w:r>
      <w:r>
        <w:rPr>
          <w:rFonts w:hint="eastAsia" w:ascii="方正仿宋_GBK" w:hAnsi="宋体" w:eastAsia="方正仿宋_GBK" w:cs="Times New Roman"/>
          <w:color w:val="auto"/>
          <w:sz w:val="24"/>
          <w:szCs w:val="24"/>
          <w:lang w:eastAsia="zh-CN"/>
        </w:rPr>
        <w:t>装卸车费、运输费、处置费</w:t>
      </w:r>
      <w:r>
        <w:rPr>
          <w:rFonts w:hint="eastAsia" w:ascii="方正仿宋_GBK" w:hAnsi="宋体" w:eastAsia="方正仿宋_GBK" w:cs="Times New Roman"/>
          <w:color w:val="auto"/>
          <w:sz w:val="24"/>
          <w:szCs w:val="24"/>
        </w:rPr>
        <w:t>、保险费、税费等各项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8122"/>
      <w:bookmarkStart w:id="40" w:name="_Toc342913393"/>
      <w:bookmarkStart w:id="41" w:name="_Toc403569780"/>
      <w:bookmarkStart w:id="42" w:name="_Toc179714298"/>
      <w:bookmarkStart w:id="43" w:name="_Toc102227319"/>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5" w:name="_Toc485108784"/>
      <w:bookmarkStart w:id="66"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67" w:name="_Toc485108785"/>
      <w:bookmarkStart w:id="68" w:name="_Toc766"/>
      <w:bookmarkStart w:id="69" w:name="_Toc12789058"/>
      <w:r>
        <w:rPr>
          <w:rFonts w:hint="eastAsia" w:ascii="微软雅黑" w:hAnsi="微软雅黑" w:eastAsia="微软雅黑" w:cs="微软雅黑"/>
          <w:color w:val="auto"/>
          <w:sz w:val="24"/>
          <w:szCs w:val="24"/>
        </w:rPr>
        <w:t>一、</w:t>
      </w:r>
      <w:bookmarkEnd w:id="67"/>
      <w:bookmarkEnd w:id="68"/>
      <w:r>
        <w:rPr>
          <w:rFonts w:hint="eastAsia" w:ascii="微软雅黑" w:hAnsi="微软雅黑" w:eastAsia="微软雅黑" w:cs="微软雅黑"/>
          <w:color w:val="auto"/>
          <w:sz w:val="24"/>
          <w:szCs w:val="24"/>
        </w:rPr>
        <w:t>危险化学性废物种类：</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6264"/>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184" w:type="dxa"/>
            <w:vAlign w:val="center"/>
          </w:tcPr>
          <w:p>
            <w:pPr>
              <w:snapToGrid w:val="0"/>
              <w:spacing w:line="400" w:lineRule="exact"/>
              <w:ind w:firstLine="480" w:firstLineChars="200"/>
              <w:jc w:val="both"/>
              <w:rPr>
                <w:rFonts w:hint="eastAsia" w:ascii="方正仿宋_GBK" w:hAnsi="宋体" w:eastAsia="方正仿宋_GBK" w:cs="Times New Roman"/>
                <w:color w:val="auto"/>
                <w:sz w:val="24"/>
                <w:szCs w:val="24"/>
              </w:rPr>
            </w:pPr>
            <w:bookmarkStart w:id="70" w:name="_Toc485108786"/>
            <w:bookmarkStart w:id="71" w:name="_Toc18590"/>
            <w:r>
              <w:rPr>
                <w:rFonts w:hint="eastAsia" w:ascii="方正仿宋_GBK" w:hAnsi="宋体" w:eastAsia="方正仿宋_GBK" w:cs="Times New Roman"/>
                <w:color w:val="auto"/>
                <w:sz w:val="24"/>
                <w:szCs w:val="24"/>
              </w:rPr>
              <w:t>类别</w:t>
            </w:r>
          </w:p>
        </w:tc>
        <w:tc>
          <w:tcPr>
            <w:tcW w:w="6264" w:type="dxa"/>
            <w:vAlign w:val="center"/>
          </w:tcPr>
          <w:p>
            <w:pPr>
              <w:snapToGrid w:val="0"/>
              <w:spacing w:line="400" w:lineRule="exact"/>
              <w:ind w:firstLine="480" w:firstLineChars="200"/>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成分</w:t>
            </w:r>
          </w:p>
        </w:tc>
        <w:tc>
          <w:tcPr>
            <w:tcW w:w="1020" w:type="dxa"/>
            <w:vAlign w:val="center"/>
          </w:tcPr>
          <w:p>
            <w:pPr>
              <w:spacing w:line="400" w:lineRule="exact"/>
              <w:jc w:val="center"/>
              <w:rPr>
                <w:rFonts w:hint="eastAsia" w:ascii="仿宋" w:hAnsi="仿宋" w:eastAsia="仿宋" w:cstheme="minorBidi"/>
                <w:color w:val="000000"/>
                <w:kern w:val="2"/>
                <w:sz w:val="24"/>
                <w:szCs w:val="22"/>
                <w:lang w:eastAsia="zh-CN"/>
              </w:rPr>
            </w:pPr>
            <w:r>
              <w:rPr>
                <w:rFonts w:hint="eastAsia" w:ascii="方正仿宋_GBK" w:hAnsi="宋体" w:eastAsia="方正仿宋_GBK" w:cs="Times New Roman"/>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2184" w:type="dxa"/>
            <w:vAlign w:val="center"/>
          </w:tcPr>
          <w:p>
            <w:pPr>
              <w:snapToGrid w:val="0"/>
              <w:spacing w:line="400" w:lineRule="exact"/>
              <w:ind w:firstLine="480" w:firstLineChars="200"/>
              <w:jc w:val="both"/>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一般化学品</w:t>
            </w:r>
          </w:p>
        </w:tc>
        <w:tc>
          <w:tcPr>
            <w:tcW w:w="6264" w:type="dxa"/>
            <w:vAlign w:val="center"/>
          </w:tcPr>
          <w:p>
            <w:pPr>
              <w:snapToGrid w:val="0"/>
              <w:spacing w:line="400" w:lineRule="exact"/>
              <w:ind w:firstLine="480" w:firstLineChars="200"/>
              <w:jc w:val="both"/>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乙醇、冰醋酸、戊二醛、盐酸、二甲苯、丙酮、甲醇、三氯甲烷、异丙醇、磷酸、硫酸、硼酸、氢氧化钠、氢氧化钾、对氨基酚、氯乙酸钠、碘酸钾、亚硫酸氢钠、过氧化氢、环氧乙烷、次氯酸钠、硝酸、过氧乙酸、硫磺、碱式氯化铝等</w:t>
            </w:r>
          </w:p>
        </w:tc>
        <w:tc>
          <w:tcPr>
            <w:tcW w:w="1020" w:type="dxa"/>
            <w:vAlign w:val="center"/>
          </w:tcPr>
          <w:p>
            <w:pPr>
              <w:spacing w:line="400" w:lineRule="exact"/>
              <w:jc w:val="left"/>
              <w:rPr>
                <w:rFonts w:hint="eastAsia" w:ascii="仿宋" w:hAnsi="仿宋" w:eastAsia="仿宋" w:cstheme="minorBidi"/>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184" w:type="dxa"/>
            <w:vAlign w:val="center"/>
          </w:tcPr>
          <w:p>
            <w:pPr>
              <w:snapToGrid w:val="0"/>
              <w:spacing w:line="400" w:lineRule="exact"/>
              <w:ind w:firstLine="480" w:firstLineChars="200"/>
              <w:jc w:val="both"/>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高毒化学品</w:t>
            </w:r>
          </w:p>
        </w:tc>
        <w:tc>
          <w:tcPr>
            <w:tcW w:w="6264" w:type="dxa"/>
            <w:vAlign w:val="center"/>
          </w:tcPr>
          <w:p>
            <w:pPr>
              <w:snapToGrid w:val="0"/>
              <w:spacing w:line="400" w:lineRule="exact"/>
              <w:ind w:firstLine="480" w:firstLineChars="200"/>
              <w:jc w:val="both"/>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苯酚、甲醛、N,N-二甲基甲酰胺、乙腈、对苯二酚、氟化钠、丙烯酰胺、多聚甲醛、汞等</w:t>
            </w:r>
          </w:p>
          <w:p>
            <w:pPr>
              <w:snapToGrid w:val="0"/>
              <w:spacing w:line="400" w:lineRule="exact"/>
              <w:ind w:firstLine="480" w:firstLineChars="200"/>
              <w:jc w:val="both"/>
              <w:rPr>
                <w:rFonts w:hint="eastAsia" w:ascii="方正仿宋_GBK" w:hAnsi="宋体" w:eastAsia="方正仿宋_GBK" w:cs="Times New Roman"/>
                <w:color w:val="auto"/>
                <w:sz w:val="24"/>
                <w:szCs w:val="24"/>
              </w:rPr>
            </w:pPr>
          </w:p>
        </w:tc>
        <w:tc>
          <w:tcPr>
            <w:tcW w:w="1020" w:type="dxa"/>
            <w:vAlign w:val="center"/>
          </w:tcPr>
          <w:p>
            <w:pPr>
              <w:spacing w:line="400" w:lineRule="exact"/>
              <w:jc w:val="left"/>
              <w:rPr>
                <w:rFonts w:ascii="仿宋" w:hAnsi="仿宋" w:eastAsia="仿宋" w:cstheme="minorBidi"/>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184" w:type="dxa"/>
            <w:vAlign w:val="center"/>
          </w:tcPr>
          <w:p>
            <w:pPr>
              <w:snapToGrid w:val="0"/>
              <w:spacing w:line="400" w:lineRule="exact"/>
              <w:ind w:firstLine="480" w:firstLineChars="200"/>
              <w:jc w:val="both"/>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实验室废液</w:t>
            </w:r>
          </w:p>
        </w:tc>
        <w:tc>
          <w:tcPr>
            <w:tcW w:w="6264" w:type="dxa"/>
            <w:vAlign w:val="center"/>
          </w:tcPr>
          <w:p>
            <w:pPr>
              <w:snapToGrid w:val="0"/>
              <w:spacing w:line="400" w:lineRule="exact"/>
              <w:ind w:firstLine="480" w:firstLineChars="200"/>
              <w:jc w:val="center"/>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p>
        </w:tc>
        <w:tc>
          <w:tcPr>
            <w:tcW w:w="1020" w:type="dxa"/>
            <w:vAlign w:val="center"/>
          </w:tcPr>
          <w:p>
            <w:pPr>
              <w:spacing w:line="400" w:lineRule="exact"/>
              <w:jc w:val="center"/>
              <w:rPr>
                <w:rFonts w:hint="eastAsia" w:ascii="仿宋" w:hAnsi="仿宋" w:eastAsia="仿宋" w:cstheme="minorBidi"/>
                <w:color w:val="000000"/>
                <w:kern w:val="2"/>
                <w:sz w:val="24"/>
                <w:szCs w:val="22"/>
              </w:rPr>
            </w:pPr>
          </w:p>
        </w:tc>
      </w:tr>
    </w:tbl>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二、服务要求</w:t>
      </w:r>
      <w:bookmarkEnd w:id="70"/>
      <w:bookmarkEnd w:id="71"/>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转运周期：根据</w:t>
      </w:r>
      <w:r>
        <w:rPr>
          <w:rFonts w:hint="eastAsia" w:ascii="方正仿宋_GBK" w:hAnsi="宋体" w:eastAsia="方正仿宋_GBK" w:cs="Times New Roman"/>
          <w:color w:val="auto"/>
          <w:sz w:val="24"/>
          <w:szCs w:val="24"/>
          <w:lang w:eastAsia="zh-CN"/>
        </w:rPr>
        <w:t>采购方</w:t>
      </w:r>
      <w:r>
        <w:rPr>
          <w:rFonts w:hint="eastAsia" w:ascii="方正仿宋_GBK" w:hAnsi="宋体" w:eastAsia="方正仿宋_GBK" w:cs="Times New Roman"/>
          <w:color w:val="auto"/>
          <w:sz w:val="24"/>
          <w:szCs w:val="24"/>
        </w:rPr>
        <w:t>收集量，以电话通知为准。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采购方</w:t>
      </w:r>
      <w:r>
        <w:rPr>
          <w:rFonts w:hint="eastAsia" w:ascii="方正仿宋_GBK" w:hAnsi="宋体" w:eastAsia="方正仿宋_GBK" w:cs="Times New Roman"/>
          <w:color w:val="auto"/>
          <w:sz w:val="24"/>
          <w:szCs w:val="24"/>
        </w:rPr>
        <w:t>委托处理危险废物的风险自危险废物装车后全部转移至</w:t>
      </w:r>
      <w:r>
        <w:rPr>
          <w:rFonts w:hint="eastAsia" w:ascii="方正仿宋_GBK" w:hAnsi="宋体" w:eastAsia="方正仿宋_GBK" w:cs="Times New Roman"/>
          <w:color w:val="auto"/>
          <w:sz w:val="24"/>
          <w:szCs w:val="24"/>
          <w:lang w:eastAsia="zh-CN"/>
        </w:rPr>
        <w:t>服务方</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服务方</w:t>
      </w:r>
      <w:r>
        <w:rPr>
          <w:rFonts w:hint="eastAsia" w:ascii="方正仿宋_GBK" w:hAnsi="宋体" w:eastAsia="方正仿宋_GBK" w:cs="Times New Roman"/>
          <w:color w:val="auto"/>
          <w:sz w:val="24"/>
          <w:szCs w:val="24"/>
        </w:rPr>
        <w:t>严格按照国家危险废物相关规定执行。在运输、处置过程中发生危险废物污染等损害事故，所致一切责任由</w:t>
      </w:r>
      <w:r>
        <w:rPr>
          <w:rFonts w:hint="eastAsia" w:ascii="方正仿宋_GBK" w:hAnsi="宋体" w:eastAsia="方正仿宋_GBK" w:cs="Times New Roman"/>
          <w:color w:val="auto"/>
          <w:sz w:val="24"/>
          <w:szCs w:val="24"/>
          <w:lang w:eastAsia="zh-CN"/>
        </w:rPr>
        <w:t>服务方</w:t>
      </w:r>
      <w:r>
        <w:rPr>
          <w:rFonts w:hint="eastAsia" w:ascii="方正仿宋_GBK" w:hAnsi="宋体" w:eastAsia="方正仿宋_GBK" w:cs="Times New Roman"/>
          <w:color w:val="auto"/>
          <w:sz w:val="24"/>
          <w:szCs w:val="24"/>
        </w:rPr>
        <w:t>负担。如因运输、处置不当而导致政府或第三方对我院进行罚款或被要求赔偿损失的，</w:t>
      </w:r>
      <w:r>
        <w:rPr>
          <w:rFonts w:hint="eastAsia" w:ascii="方正仿宋_GBK" w:hAnsi="宋体" w:eastAsia="方正仿宋_GBK" w:cs="Times New Roman"/>
          <w:color w:val="auto"/>
          <w:sz w:val="24"/>
          <w:szCs w:val="24"/>
          <w:lang w:eastAsia="zh-CN"/>
        </w:rPr>
        <w:t>服务方</w:t>
      </w:r>
      <w:r>
        <w:rPr>
          <w:rFonts w:hint="eastAsia" w:ascii="方正仿宋_GBK" w:hAnsi="宋体" w:eastAsia="方正仿宋_GBK" w:cs="Times New Roman"/>
          <w:color w:val="auto"/>
          <w:sz w:val="24"/>
          <w:szCs w:val="24"/>
        </w:rPr>
        <w:t>应负全部赔偿责任。</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、危险废物的装卸工具由</w:t>
      </w:r>
      <w:r>
        <w:rPr>
          <w:rFonts w:hint="eastAsia" w:ascii="方正仿宋_GBK" w:hAnsi="宋体" w:eastAsia="方正仿宋_GBK" w:cs="Times New Roman"/>
          <w:color w:val="auto"/>
          <w:sz w:val="24"/>
          <w:szCs w:val="24"/>
          <w:lang w:eastAsia="zh-CN"/>
        </w:rPr>
        <w:t>服务方</w:t>
      </w:r>
      <w:r>
        <w:rPr>
          <w:rFonts w:hint="eastAsia" w:ascii="方正仿宋_GBK" w:hAnsi="宋体" w:eastAsia="方正仿宋_GBK" w:cs="Times New Roman"/>
          <w:color w:val="auto"/>
          <w:sz w:val="24"/>
          <w:szCs w:val="24"/>
        </w:rPr>
        <w:t>提供并负责装</w:t>
      </w:r>
      <w:r>
        <w:rPr>
          <w:rFonts w:hint="eastAsia" w:ascii="方正仿宋_GBK" w:hAnsi="宋体" w:eastAsia="方正仿宋_GBK" w:cs="Times New Roman"/>
          <w:color w:val="auto"/>
          <w:sz w:val="24"/>
          <w:szCs w:val="24"/>
          <w:lang w:eastAsia="zh-CN"/>
        </w:rPr>
        <w:t>卸</w:t>
      </w:r>
      <w:r>
        <w:rPr>
          <w:rFonts w:hint="eastAsia" w:ascii="方正仿宋_GBK" w:hAnsi="宋体" w:eastAsia="方正仿宋_GBK" w:cs="Times New Roman"/>
          <w:color w:val="auto"/>
          <w:sz w:val="24"/>
          <w:szCs w:val="24"/>
        </w:rPr>
        <w:t>车。</w:t>
      </w:r>
    </w:p>
    <w:p>
      <w:pPr>
        <w:snapToGrid w:val="0"/>
        <w:spacing w:line="400" w:lineRule="exact"/>
        <w:jc w:val="left"/>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2" w:name="_Toc28327"/>
      <w:bookmarkStart w:id="73"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9"/>
      <w:bookmarkEnd w:id="72"/>
      <w:bookmarkEnd w:id="73"/>
      <w:bookmarkStart w:id="74" w:name="_Toc11641055"/>
      <w:bookmarkStart w:id="75" w:name="_Toc12789059"/>
    </w:p>
    <w:p>
      <w:pPr>
        <w:pStyle w:val="3"/>
        <w:spacing w:line="240" w:lineRule="auto"/>
        <w:rPr>
          <w:rFonts w:hint="eastAsia" w:ascii="微软雅黑" w:hAnsi="微软雅黑" w:eastAsia="微软雅黑" w:cs="微软雅黑"/>
          <w:color w:val="auto"/>
          <w:sz w:val="24"/>
          <w:szCs w:val="24"/>
        </w:rPr>
      </w:pPr>
      <w:bookmarkStart w:id="76" w:name="_Toc485108788"/>
      <w:bookmarkStart w:id="77" w:name="_Toc2302"/>
      <w:bookmarkStart w:id="78" w:name="_Toc344475121"/>
      <w:r>
        <w:rPr>
          <w:rFonts w:hint="eastAsia" w:ascii="微软雅黑" w:hAnsi="微软雅黑" w:eastAsia="微软雅黑" w:cs="微软雅黑"/>
          <w:color w:val="auto"/>
          <w:sz w:val="24"/>
          <w:szCs w:val="24"/>
        </w:rPr>
        <w:t>一、服务</w:t>
      </w:r>
      <w:r>
        <w:rPr>
          <w:rFonts w:hint="eastAsia" w:ascii="微软雅黑" w:hAnsi="微软雅黑" w:eastAsia="微软雅黑" w:cs="微软雅黑"/>
          <w:color w:val="auto"/>
          <w:sz w:val="24"/>
          <w:szCs w:val="24"/>
          <w:lang w:eastAsia="zh-CN"/>
        </w:rPr>
        <w:t>时间、</w:t>
      </w:r>
      <w:r>
        <w:rPr>
          <w:rFonts w:hint="eastAsia" w:ascii="微软雅黑" w:hAnsi="微软雅黑" w:eastAsia="微软雅黑" w:cs="微软雅黑"/>
          <w:color w:val="auto"/>
          <w:sz w:val="24"/>
          <w:szCs w:val="24"/>
        </w:rPr>
        <w:t>地点及验收方式</w:t>
      </w:r>
      <w:bookmarkEnd w:id="76"/>
      <w:bookmarkEnd w:id="77"/>
    </w:p>
    <w:p>
      <w:pPr>
        <w:spacing w:line="400" w:lineRule="exact"/>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服务时间</w:t>
      </w:r>
      <w:r>
        <w:rPr>
          <w:rFonts w:hint="eastAsia" w:ascii="方正仿宋_GBK" w:hAnsi="宋体" w:eastAsia="方正仿宋_GBK" w:cs="Times New Roman"/>
          <w:b w:val="0"/>
          <w:color w:val="auto"/>
          <w:kern w:val="2"/>
          <w:sz w:val="24"/>
          <w:szCs w:val="24"/>
          <w:lang w:val="en-US" w:eastAsia="zh-CN" w:bidi="ar-SA"/>
        </w:rPr>
        <w:t>：服务期限三年。</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b w:val="0"/>
          <w:color w:val="auto"/>
          <w:kern w:val="2"/>
          <w:sz w:val="24"/>
          <w:szCs w:val="24"/>
          <w:lang w:val="en-US" w:eastAsia="zh-CN" w:bidi="ar-SA"/>
        </w:rPr>
        <w:t>（二）</w:t>
      </w:r>
      <w:r>
        <w:rPr>
          <w:rFonts w:hint="eastAsia" w:ascii="方正仿宋_GBK" w:hAnsi="宋体" w:eastAsia="方正仿宋_GBK" w:cs="Times New Roman"/>
          <w:color w:val="auto"/>
          <w:sz w:val="24"/>
          <w:szCs w:val="24"/>
        </w:rPr>
        <w:t xml:space="preserve">服务地点：重庆医科大学附属永川医院。 </w:t>
      </w:r>
    </w:p>
    <w:bookmarkEnd w:id="78"/>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bookmarkStart w:id="79" w:name="_Toc485108789"/>
      <w:bookmarkStart w:id="80" w:name="_Toc279"/>
      <w:bookmarkStart w:id="81" w:name="_Toc485108790"/>
      <w:bookmarkStart w:id="82" w:name="_Toc344475122"/>
      <w:r>
        <w:rPr>
          <w:rFonts w:hint="eastAsia" w:ascii="方正仿宋_GBK" w:hAnsi="宋体" w:eastAsia="方正仿宋_GBK" w:cs="Times New Roman"/>
          <w:b w:val="0"/>
          <w:color w:val="auto"/>
          <w:kern w:val="2"/>
          <w:sz w:val="24"/>
          <w:szCs w:val="24"/>
          <w:lang w:val="en-US" w:eastAsia="zh-CN" w:bidi="ar-SA"/>
        </w:rPr>
        <w:t>（三）验收方式：服务方每次转运完危险废弃物后，双方书面确认危废种类、总量及金额。</w:t>
      </w:r>
    </w:p>
    <w:bookmarkEnd w:id="79"/>
    <w:bookmarkEnd w:id="80"/>
    <w:p>
      <w:pPr>
        <w:pStyle w:val="3"/>
        <w:spacing w:line="240" w:lineRule="auto"/>
        <w:rPr>
          <w:rFonts w:hint="eastAsia" w:ascii="微软雅黑" w:hAnsi="微软雅黑" w:eastAsia="微软雅黑" w:cs="微软雅黑"/>
          <w:color w:val="auto"/>
          <w:sz w:val="24"/>
          <w:szCs w:val="24"/>
        </w:rPr>
      </w:pPr>
      <w:bookmarkStart w:id="83" w:name="_Toc15905"/>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81"/>
      <w:bookmarkEnd w:id="82"/>
      <w:bookmarkEnd w:id="83"/>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服务方根据危险化学性废物种类</w:t>
      </w:r>
      <w:r>
        <w:rPr>
          <w:rFonts w:hint="eastAsia" w:ascii="方正仿宋_GBK" w:hAnsi="宋体" w:eastAsia="方正仿宋_GBK" w:cs="Times New Roman"/>
          <w:color w:val="auto"/>
          <w:sz w:val="24"/>
          <w:szCs w:val="24"/>
          <w:lang w:eastAsia="zh-CN"/>
        </w:rPr>
        <w:t>进行分项报价（详见报价表）</w:t>
      </w:r>
      <w:r>
        <w:rPr>
          <w:rFonts w:hint="eastAsia" w:ascii="方正仿宋_GBK" w:hAnsi="宋体" w:eastAsia="方正仿宋_GBK" w:cs="Times New Roman"/>
          <w:color w:val="auto"/>
          <w:sz w:val="24"/>
          <w:szCs w:val="24"/>
        </w:rPr>
        <w:t>。投标报价为包干价，包含但不限于</w:t>
      </w:r>
      <w:r>
        <w:rPr>
          <w:rFonts w:hint="eastAsia" w:ascii="方正仿宋_GBK" w:hAnsi="宋体" w:eastAsia="方正仿宋_GBK" w:cs="Times New Roman"/>
          <w:color w:val="auto"/>
          <w:sz w:val="24"/>
          <w:szCs w:val="24"/>
          <w:lang w:eastAsia="zh-CN"/>
        </w:rPr>
        <w:t>装卸车费、运输费、处置费</w:t>
      </w:r>
      <w:r>
        <w:rPr>
          <w:rFonts w:hint="eastAsia" w:ascii="方正仿宋_GBK" w:hAnsi="宋体" w:eastAsia="方正仿宋_GBK" w:cs="Times New Roman"/>
          <w:color w:val="auto"/>
          <w:sz w:val="24"/>
          <w:szCs w:val="24"/>
        </w:rPr>
        <w:t>、保险费、税费等各项费用</w:t>
      </w:r>
      <w:r>
        <w:rPr>
          <w:rFonts w:hint="eastAsia" w:ascii="方正仿宋_GBK" w:hAnsi="宋体" w:eastAsia="方正仿宋_GBK" w:cs="Times New Roman"/>
          <w:color w:val="auto"/>
          <w:sz w:val="24"/>
          <w:szCs w:val="24"/>
          <w:lang w:eastAsia="zh-CN"/>
        </w:rPr>
        <w:t>。</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auto"/>
          <w:sz w:val="24"/>
          <w:szCs w:val="24"/>
        </w:rPr>
      </w:pPr>
      <w:bookmarkStart w:id="84" w:name="_Toc403569795"/>
      <w:bookmarkStart w:id="85" w:name="_Toc7358"/>
      <w:bookmarkStart w:id="86" w:name="_Toc485108793"/>
      <w:r>
        <w:rPr>
          <w:rFonts w:hint="eastAsia" w:ascii="方正仿宋_GBK" w:hAnsi="宋体" w:eastAsia="方正仿宋_GBK" w:cs="Times New Roman"/>
          <w:color w:val="auto"/>
          <w:sz w:val="24"/>
          <w:szCs w:val="24"/>
          <w:lang w:eastAsia="zh-CN"/>
        </w:rPr>
        <w:t xml:space="preserve">服务方每次转运完危险废弃物后，双方书面确认危废种类、总量及金额，服务方向采购方出具经双方确认的当次处置费用的确认单和合法发票，采购方自收到确认单和发票之日起 </w:t>
      </w: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lang w:eastAsia="zh-CN"/>
        </w:rPr>
        <w:t>0日内向服务方支付当次危险废弃物转运处置的所有费用。</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三</w:t>
      </w:r>
      <w:bookmarkStart w:id="87" w:name="_Toc11645"/>
      <w:r>
        <w:rPr>
          <w:rFonts w:hint="eastAsia" w:ascii="微软雅黑" w:hAnsi="微软雅黑" w:eastAsia="微软雅黑" w:cs="微软雅黑"/>
          <w:color w:val="auto"/>
          <w:sz w:val="24"/>
          <w:szCs w:val="24"/>
        </w:rPr>
        <w:t>、知识产权</w:t>
      </w:r>
      <w:bookmarkEnd w:id="87"/>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84"/>
      <w:bookmarkEnd w:id="85"/>
      <w:bookmarkEnd w:id="86"/>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4"/>
      <w:bookmarkEnd w:id="75"/>
      <w:bookmarkStart w:id="88" w:name="_Toc14840"/>
      <w:bookmarkStart w:id="89" w:name="_Toc485108794"/>
      <w:bookmarkStart w:id="90" w:name="_Toc403569796"/>
      <w:bookmarkStart w:id="91" w:name="_Toc303945820"/>
      <w:bookmarkStart w:id="92" w:name="_Toc148265480"/>
      <w:r>
        <w:rPr>
          <w:rFonts w:hint="eastAsia" w:ascii="微软雅黑" w:hAnsi="微软雅黑" w:eastAsia="微软雅黑" w:cs="微软雅黑"/>
          <w:b/>
          <w:color w:val="auto"/>
          <w:sz w:val="36"/>
          <w:szCs w:val="36"/>
        </w:rPr>
        <w:t>第五篇  合同草案条款</w:t>
      </w:r>
      <w:bookmarkEnd w:id="88"/>
      <w:bookmarkEnd w:id="89"/>
      <w:bookmarkEnd w:id="90"/>
    </w:p>
    <w:p>
      <w:pPr>
        <w:pStyle w:val="3"/>
        <w:spacing w:line="240" w:lineRule="auto"/>
        <w:rPr>
          <w:rFonts w:hint="eastAsia" w:ascii="微软雅黑" w:hAnsi="微软雅黑" w:eastAsia="微软雅黑" w:cs="微软雅黑"/>
          <w:color w:val="auto"/>
          <w:sz w:val="24"/>
          <w:szCs w:val="24"/>
        </w:rPr>
      </w:pPr>
      <w:bookmarkStart w:id="93" w:name="_Toc30815"/>
      <w:bookmarkStart w:id="94" w:name="_Toc54718202"/>
      <w:r>
        <w:rPr>
          <w:rFonts w:hint="eastAsia" w:ascii="微软雅黑" w:hAnsi="微软雅黑" w:eastAsia="微软雅黑" w:cs="微软雅黑"/>
          <w:color w:val="auto"/>
          <w:sz w:val="24"/>
          <w:szCs w:val="24"/>
        </w:rPr>
        <w:t>一、定义</w:t>
      </w:r>
      <w:bookmarkEnd w:id="93"/>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988"/>
      <w:r>
        <w:rPr>
          <w:rFonts w:hint="eastAsia" w:ascii="方正仿宋_GBK" w:hAnsi="宋体" w:eastAsia="方正仿宋_GBK" w:cs="Times New Roman"/>
          <w:color w:val="auto"/>
          <w:sz w:val="24"/>
          <w:szCs w:val="24"/>
        </w:rPr>
        <w:t>（一）甲方（需方）即重庆医科大学附属永川医院。</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9"/>
    </w:p>
    <w:p>
      <w:pPr>
        <w:pStyle w:val="3"/>
        <w:spacing w:line="240" w:lineRule="auto"/>
        <w:rPr>
          <w:rFonts w:hint="eastAsia" w:ascii="微软雅黑" w:hAnsi="微软雅黑" w:eastAsia="微软雅黑" w:cs="微软雅黑"/>
          <w:color w:val="auto"/>
          <w:sz w:val="24"/>
          <w:szCs w:val="24"/>
        </w:rPr>
      </w:pPr>
      <w:bookmarkStart w:id="100" w:name="_Toc54718203"/>
      <w:bookmarkStart w:id="101"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00"/>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28967"/>
      <w:r>
        <w:rPr>
          <w:rFonts w:hint="eastAsia" w:ascii="方正仿宋_GBK" w:hAnsi="宋体" w:eastAsia="方正仿宋_GBK" w:cs="Times New Roman"/>
          <w:color w:val="auto"/>
          <w:sz w:val="24"/>
          <w:szCs w:val="24"/>
        </w:rPr>
        <w:t>合同包括以下内容：</w:t>
      </w:r>
      <w:bookmarkEnd w:id="102"/>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3" w:name="_Toc54718204"/>
      <w:bookmarkStart w:id="104" w:name="_Toc8853"/>
      <w:r>
        <w:rPr>
          <w:rFonts w:hint="eastAsia" w:ascii="微软雅黑" w:hAnsi="微软雅黑" w:eastAsia="微软雅黑" w:cs="微软雅黑"/>
          <w:color w:val="auto"/>
          <w:sz w:val="24"/>
          <w:szCs w:val="24"/>
        </w:rPr>
        <w:t>三、合同价格</w:t>
      </w:r>
      <w:bookmarkEnd w:id="103"/>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25177"/>
      <w:bookmarkStart w:id="106"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服务内容单价</w:t>
      </w:r>
      <w:r>
        <w:rPr>
          <w:rFonts w:hint="eastAsia" w:ascii="方正仿宋_GBK" w:hAnsi="宋体" w:eastAsia="方正仿宋_GBK" w:cs="Times New Roman"/>
          <w:color w:val="auto"/>
          <w:sz w:val="24"/>
          <w:szCs w:val="24"/>
        </w:rPr>
        <w:t>。</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3890"/>
      <w:r>
        <w:rPr>
          <w:rFonts w:hint="eastAsia" w:ascii="方正仿宋_GBK" w:hAnsi="宋体" w:eastAsia="方正仿宋_GBK" w:cs="Times New Roman"/>
          <w:color w:val="auto"/>
          <w:sz w:val="24"/>
          <w:szCs w:val="24"/>
        </w:rPr>
        <w:t>（二）合同价格包含但不限</w:t>
      </w:r>
      <w:r>
        <w:rPr>
          <w:rFonts w:hint="eastAsia" w:ascii="方正仿宋_GBK" w:hAnsi="宋体" w:eastAsia="方正仿宋_GBK" w:cs="Times New Roman"/>
          <w:color w:val="auto"/>
          <w:sz w:val="24"/>
          <w:szCs w:val="24"/>
          <w:lang w:eastAsia="zh-CN"/>
        </w:rPr>
        <w:t>装卸车费、运输费、处置费</w:t>
      </w:r>
      <w:r>
        <w:rPr>
          <w:rFonts w:hint="eastAsia" w:ascii="方正仿宋_GBK" w:hAnsi="宋体" w:eastAsia="方正仿宋_GBK" w:cs="Times New Roman"/>
          <w:color w:val="auto"/>
          <w:sz w:val="24"/>
          <w:szCs w:val="24"/>
        </w:rPr>
        <w:t>、保险费</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所有税费由乙方负担。</w:t>
      </w:r>
      <w:bookmarkEnd w:id="107"/>
    </w:p>
    <w:p>
      <w:pPr>
        <w:pStyle w:val="3"/>
        <w:spacing w:line="240" w:lineRule="auto"/>
        <w:rPr>
          <w:rFonts w:hint="eastAsia" w:ascii="微软雅黑" w:hAnsi="微软雅黑" w:eastAsia="微软雅黑" w:cs="微软雅黑"/>
          <w:color w:val="auto"/>
          <w:sz w:val="24"/>
          <w:szCs w:val="24"/>
        </w:rPr>
      </w:pPr>
      <w:bookmarkStart w:id="108" w:name="_Toc24410"/>
      <w:r>
        <w:rPr>
          <w:rFonts w:hint="eastAsia" w:ascii="微软雅黑" w:hAnsi="微软雅黑" w:eastAsia="微软雅黑" w:cs="微软雅黑"/>
          <w:color w:val="auto"/>
          <w:sz w:val="24"/>
          <w:szCs w:val="24"/>
        </w:rPr>
        <w:t>四、转包或分包</w:t>
      </w:r>
      <w:bookmarkEnd w:id="106"/>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1"/>
    </w:p>
    <w:p>
      <w:pPr>
        <w:pStyle w:val="3"/>
        <w:spacing w:line="240" w:lineRule="auto"/>
        <w:rPr>
          <w:rFonts w:hint="eastAsia" w:ascii="微软雅黑" w:hAnsi="微软雅黑" w:eastAsia="微软雅黑" w:cs="微软雅黑"/>
          <w:color w:val="auto"/>
          <w:sz w:val="24"/>
          <w:szCs w:val="24"/>
        </w:rPr>
      </w:pPr>
      <w:bookmarkStart w:id="112" w:name="_Toc54718206"/>
      <w:bookmarkStart w:id="113" w:name="_Toc2241"/>
      <w:r>
        <w:rPr>
          <w:rFonts w:hint="eastAsia" w:ascii="微软雅黑" w:hAnsi="微软雅黑" w:eastAsia="微软雅黑" w:cs="微软雅黑"/>
          <w:color w:val="auto"/>
          <w:sz w:val="24"/>
          <w:szCs w:val="24"/>
        </w:rPr>
        <w:t>五、质量保证及售后服务</w:t>
      </w:r>
      <w:bookmarkEnd w:id="112"/>
      <w:bookmarkEnd w:id="113"/>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4" w:name="_Toc12985"/>
      <w:bookmarkStart w:id="115"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4"/>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5"/>
    </w:p>
    <w:p>
      <w:pPr>
        <w:pStyle w:val="3"/>
        <w:spacing w:line="240" w:lineRule="auto"/>
        <w:rPr>
          <w:rFonts w:hint="eastAsia" w:ascii="微软雅黑" w:hAnsi="微软雅黑" w:eastAsia="微软雅黑" w:cs="微软雅黑"/>
          <w:color w:val="auto"/>
          <w:sz w:val="24"/>
          <w:szCs w:val="24"/>
        </w:rPr>
      </w:pPr>
      <w:bookmarkStart w:id="116" w:name="_Toc9053"/>
      <w:bookmarkStart w:id="117" w:name="_Toc54718207"/>
      <w:r>
        <w:rPr>
          <w:rFonts w:hint="eastAsia" w:ascii="微软雅黑" w:hAnsi="微软雅黑" w:eastAsia="微软雅黑" w:cs="微软雅黑"/>
          <w:color w:val="auto"/>
          <w:sz w:val="24"/>
          <w:szCs w:val="24"/>
        </w:rPr>
        <w:t>六、付款</w:t>
      </w:r>
      <w:bookmarkEnd w:id="116"/>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23183"/>
      <w:r>
        <w:rPr>
          <w:rFonts w:hint="eastAsia" w:ascii="方正仿宋_GBK" w:hAnsi="宋体" w:eastAsia="方正仿宋_GBK" w:cs="Times New Roman"/>
          <w:color w:val="auto"/>
          <w:sz w:val="24"/>
          <w:szCs w:val="24"/>
        </w:rPr>
        <w:t>（一）本合同使用货币币制如未作特别说明均为人民币。</w:t>
      </w:r>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8880"/>
      <w:r>
        <w:rPr>
          <w:rFonts w:hint="eastAsia" w:ascii="方正仿宋_GBK" w:hAnsi="宋体" w:eastAsia="方正仿宋_GBK" w:cs="Times New Roman"/>
          <w:color w:val="auto"/>
          <w:sz w:val="24"/>
          <w:szCs w:val="24"/>
        </w:rPr>
        <w:t>（二）付款方式：银行转账。</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0"/>
    </w:p>
    <w:p>
      <w:pPr>
        <w:pStyle w:val="3"/>
        <w:spacing w:line="240" w:lineRule="auto"/>
        <w:rPr>
          <w:rFonts w:hint="eastAsia" w:ascii="微软雅黑" w:hAnsi="微软雅黑" w:eastAsia="微软雅黑" w:cs="微软雅黑"/>
          <w:color w:val="auto"/>
          <w:sz w:val="24"/>
          <w:szCs w:val="24"/>
        </w:rPr>
      </w:pPr>
      <w:bookmarkStart w:id="121" w:name="_Toc54718211"/>
      <w:bookmarkStart w:id="122"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1"/>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5382"/>
      <w:r>
        <w:rPr>
          <w:rFonts w:hint="eastAsia" w:ascii="方正仿宋_GBK" w:hAnsi="宋体" w:eastAsia="方正仿宋_GBK" w:cs="Times New Roman"/>
          <w:color w:val="auto"/>
          <w:sz w:val="24"/>
          <w:szCs w:val="24"/>
        </w:rPr>
        <w:t>（一）当事人友好协商达成一致</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9926"/>
      <w:r>
        <w:rPr>
          <w:rFonts w:hint="eastAsia" w:ascii="方正仿宋_GBK" w:hAnsi="宋体" w:eastAsia="方正仿宋_GBK" w:cs="Times New Roman"/>
          <w:color w:val="auto"/>
          <w:sz w:val="24"/>
          <w:szCs w:val="24"/>
        </w:rPr>
        <w:t>（二）</w:t>
      </w:r>
      <w:bookmarkEnd w:id="124"/>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25" w:name="_Toc54718210"/>
      <w:bookmarkStart w:id="126" w:name="_Toc31719"/>
      <w:bookmarkStart w:id="127" w:name="_Toc26580"/>
      <w:bookmarkStart w:id="128"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25"/>
      <w:bookmarkEnd w:id="126"/>
    </w:p>
    <w:p>
      <w:pPr>
        <w:snapToGrid w:val="0"/>
        <w:spacing w:line="400" w:lineRule="exact"/>
        <w:ind w:firstLine="480" w:firstLineChars="200"/>
        <w:rPr>
          <w:rFonts w:hint="eastAsia" w:ascii="方正仿宋_GBK" w:hAnsi="宋体" w:eastAsia="方正仿宋_GBK"/>
          <w:color w:val="auto"/>
          <w:sz w:val="24"/>
          <w:szCs w:val="24"/>
        </w:rPr>
      </w:pPr>
      <w:bookmarkStart w:id="129"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9"/>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30" w:name="_Toc17287"/>
      <w:r>
        <w:rPr>
          <w:rFonts w:hint="eastAsia" w:ascii="方正仿宋_GBK" w:hAnsi="宋体" w:eastAsia="方正仿宋_GBK"/>
          <w:color w:val="auto"/>
          <w:sz w:val="24"/>
          <w:szCs w:val="24"/>
        </w:rPr>
        <w:t>（二）若涉及软件开发等服务类项目知识产权的，知识产权归医院所有。</w:t>
      </w:r>
      <w:bookmarkEnd w:id="130"/>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7"/>
      <w:bookmarkEnd w:id="128"/>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1"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2"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31"/>
      <w:bookmarkEnd w:id="132"/>
    </w:p>
    <w:p>
      <w:pPr>
        <w:snapToGrid w:val="0"/>
        <w:spacing w:line="400" w:lineRule="exact"/>
        <w:ind w:firstLine="480" w:firstLineChars="200"/>
        <w:jc w:val="left"/>
        <w:rPr>
          <w:rFonts w:ascii="方正仿宋_GBK" w:hAnsi="宋体" w:eastAsia="方正仿宋_GBK" w:cs="Times New Roman"/>
          <w:color w:val="auto"/>
          <w:sz w:val="24"/>
          <w:szCs w:val="24"/>
        </w:rPr>
      </w:pPr>
      <w:bookmarkStart w:id="133" w:name="_Toc7071"/>
      <w:r>
        <w:rPr>
          <w:rFonts w:hint="eastAsia" w:ascii="方正仿宋_GBK" w:hAnsi="宋体" w:eastAsia="方正仿宋_GBK" w:cs="Times New Roman"/>
          <w:color w:val="auto"/>
          <w:sz w:val="24"/>
          <w:szCs w:val="24"/>
        </w:rPr>
        <w:t>（一）合同生效及其效力应符合《中华人民共和国民法典》有关规定。</w:t>
      </w:r>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4"/>
    </w:p>
    <w:p>
      <w:pPr>
        <w:snapToGrid w:val="0"/>
        <w:spacing w:line="400" w:lineRule="exact"/>
        <w:ind w:firstLine="480" w:firstLineChars="200"/>
        <w:jc w:val="left"/>
        <w:rPr>
          <w:rFonts w:ascii="方正仿宋_GBK" w:hAnsi="宋体" w:eastAsia="方正仿宋_GBK" w:cs="Times New Roman"/>
          <w:color w:val="auto"/>
          <w:sz w:val="24"/>
          <w:szCs w:val="24"/>
        </w:rPr>
      </w:pPr>
      <w:bookmarkStart w:id="135"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5"/>
    </w:p>
    <w:p>
      <w:pPr>
        <w:snapToGrid w:val="0"/>
        <w:spacing w:line="400" w:lineRule="exact"/>
        <w:ind w:firstLine="480" w:firstLineChars="200"/>
        <w:jc w:val="left"/>
        <w:rPr>
          <w:rFonts w:ascii="方正仿宋_GBK" w:hAnsi="宋体" w:eastAsia="方正仿宋_GBK" w:cs="Times New Roman"/>
          <w:color w:val="auto"/>
          <w:sz w:val="24"/>
          <w:szCs w:val="24"/>
        </w:rPr>
      </w:pPr>
      <w:bookmarkStart w:id="136" w:name="_Toc28233"/>
      <w:r>
        <w:rPr>
          <w:rFonts w:hint="eastAsia" w:ascii="方正仿宋_GBK" w:hAnsi="宋体" w:eastAsia="方正仿宋_GBK" w:cs="Times New Roman"/>
          <w:color w:val="auto"/>
          <w:sz w:val="24"/>
          <w:szCs w:val="24"/>
        </w:rPr>
        <w:t>（四）合同需提供担保的，按《中华人民共和国担保法》规定执行。</w:t>
      </w:r>
      <w:bookmarkEnd w:id="136"/>
    </w:p>
    <w:p>
      <w:pPr>
        <w:snapToGrid w:val="0"/>
        <w:spacing w:line="400" w:lineRule="exact"/>
        <w:ind w:firstLine="480" w:firstLineChars="200"/>
        <w:jc w:val="left"/>
        <w:rPr>
          <w:rFonts w:ascii="方正仿宋_GBK" w:hAnsi="宋体" w:eastAsia="方正仿宋_GBK" w:cs="Times New Roman"/>
          <w:color w:val="auto"/>
          <w:sz w:val="24"/>
          <w:szCs w:val="24"/>
        </w:rPr>
      </w:pPr>
      <w:bookmarkStart w:id="137"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7"/>
    </w:p>
    <w:bookmarkEnd w:id="91"/>
    <w:bookmarkEnd w:id="92"/>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8" w:name="_Hlt41879464"/>
      <w:bookmarkEnd w:id="138"/>
      <w:bookmarkStart w:id="139" w:name="_Toc12789072"/>
      <w:bookmarkStart w:id="140" w:name="_Toc485108795"/>
      <w:bookmarkStart w:id="141" w:name="_Toc13696"/>
      <w:r>
        <w:rPr>
          <w:rFonts w:hint="eastAsia" w:ascii="微软雅黑" w:hAnsi="微软雅黑" w:eastAsia="微软雅黑" w:cs="微软雅黑"/>
          <w:b/>
          <w:color w:val="auto"/>
          <w:sz w:val="36"/>
          <w:szCs w:val="36"/>
        </w:rPr>
        <w:t>第六篇  响应文件格式要求</w:t>
      </w:r>
      <w:bookmarkEnd w:id="139"/>
      <w:bookmarkEnd w:id="140"/>
      <w:bookmarkEnd w:id="141"/>
    </w:p>
    <w:p>
      <w:pPr>
        <w:pStyle w:val="3"/>
        <w:spacing w:line="240" w:lineRule="auto"/>
        <w:rPr>
          <w:rFonts w:hint="eastAsia" w:ascii="微软雅黑" w:hAnsi="微软雅黑" w:eastAsia="微软雅黑" w:cs="微软雅黑"/>
          <w:color w:val="auto"/>
          <w:sz w:val="24"/>
          <w:szCs w:val="24"/>
        </w:rPr>
      </w:pPr>
      <w:bookmarkStart w:id="142" w:name="_Toc27382"/>
      <w:r>
        <w:rPr>
          <w:rFonts w:hint="eastAsia" w:ascii="微软雅黑" w:hAnsi="微软雅黑" w:eastAsia="微软雅黑" w:cs="微软雅黑"/>
          <w:color w:val="auto"/>
          <w:sz w:val="24"/>
          <w:szCs w:val="24"/>
        </w:rPr>
        <w:t>一、经济部分</w:t>
      </w:r>
      <w:bookmarkEnd w:id="142"/>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3" w:name="_Toc6305"/>
      <w:r>
        <w:rPr>
          <w:rFonts w:hint="eastAsia" w:ascii="微软雅黑" w:hAnsi="微软雅黑" w:eastAsia="微软雅黑" w:cs="微软雅黑"/>
          <w:color w:val="auto"/>
          <w:sz w:val="24"/>
          <w:szCs w:val="24"/>
        </w:rPr>
        <w:t>二、服务部分</w:t>
      </w:r>
      <w:bookmarkEnd w:id="14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4" w:name="_Toc7207"/>
      <w:r>
        <w:rPr>
          <w:rFonts w:hint="eastAsia" w:ascii="微软雅黑" w:hAnsi="微软雅黑" w:eastAsia="微软雅黑" w:cs="微软雅黑"/>
          <w:color w:val="auto"/>
          <w:sz w:val="24"/>
          <w:szCs w:val="24"/>
        </w:rPr>
        <w:t>三、商务部分</w:t>
      </w:r>
      <w:bookmarkEnd w:id="144"/>
    </w:p>
    <w:p>
      <w:pPr>
        <w:snapToGrid w:val="0"/>
        <w:spacing w:line="360" w:lineRule="auto"/>
        <w:ind w:firstLine="480" w:firstLineChars="200"/>
        <w:rPr>
          <w:rFonts w:hint="eastAsia" w:ascii="微软雅黑" w:hAnsi="微软雅黑" w:eastAsia="微软雅黑" w:cs="微软雅黑"/>
          <w:color w:val="auto"/>
          <w:sz w:val="24"/>
          <w:szCs w:val="24"/>
        </w:rPr>
      </w:pPr>
      <w:bookmarkStart w:id="145" w:name="_Toc38358147"/>
      <w:bookmarkStart w:id="146" w:name="OLE_LINK10"/>
      <w:bookmarkStart w:id="147" w:name="OLE_LINK11"/>
      <w:r>
        <w:rPr>
          <w:rFonts w:hint="eastAsia" w:ascii="微软雅黑" w:hAnsi="微软雅黑" w:eastAsia="微软雅黑" w:cs="微软雅黑"/>
          <w:color w:val="auto"/>
          <w:sz w:val="24"/>
          <w:szCs w:val="24"/>
        </w:rPr>
        <w:t>（一）按照“第四篇  项目商务需求”提供相应资料</w:t>
      </w:r>
      <w:bookmarkEnd w:id="145"/>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8" w:name="_Toc18417"/>
      <w:r>
        <w:rPr>
          <w:rFonts w:hint="eastAsia" w:ascii="微软雅黑" w:hAnsi="微软雅黑" w:eastAsia="微软雅黑" w:cs="微软雅黑"/>
          <w:color w:val="auto"/>
          <w:sz w:val="24"/>
          <w:szCs w:val="24"/>
        </w:rPr>
        <w:t>四、资格条件及其他</w:t>
      </w:r>
      <w:bookmarkEnd w:id="148"/>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9" w:name="_Toc19884"/>
      <w:r>
        <w:rPr>
          <w:rFonts w:hint="eastAsia" w:ascii="微软雅黑" w:hAnsi="微软雅黑" w:eastAsia="微软雅黑" w:cs="微软雅黑"/>
          <w:color w:val="auto"/>
          <w:sz w:val="24"/>
          <w:szCs w:val="24"/>
        </w:rPr>
        <w:t>五、其他应提供的资料</w:t>
      </w:r>
      <w:bookmarkEnd w:id="149"/>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6"/>
    <w:bookmarkEnd w:id="147"/>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0" w:name="_Toc480979018"/>
      <w:bookmarkStart w:id="151" w:name="_Toc342913419"/>
      <w:bookmarkStart w:id="152" w:name="_Toc485108796"/>
      <w:bookmarkStart w:id="153" w:name="_Toc313888360"/>
      <w:bookmarkStart w:id="154" w:name="_Toc313008356"/>
      <w:bookmarkStart w:id="155" w:name="_Toc283382454"/>
      <w:bookmarkStart w:id="156" w:name="_Toc12789073"/>
      <w:r>
        <w:rPr>
          <w:rFonts w:hint="eastAsia"/>
          <w:b/>
          <w:color w:val="auto"/>
        </w:rPr>
        <w:t>经济部分</w:t>
      </w:r>
      <w:bookmarkEnd w:id="150"/>
      <w:bookmarkEnd w:id="151"/>
      <w:bookmarkEnd w:id="152"/>
      <w:bookmarkEnd w:id="153"/>
      <w:bookmarkEnd w:id="154"/>
    </w:p>
    <w:p>
      <w:pPr>
        <w:pStyle w:val="180"/>
        <w:ind w:left="450" w:firstLine="0" w:firstLineChars="0"/>
        <w:rPr>
          <w:b/>
          <w:color w:val="auto"/>
        </w:rPr>
      </w:pPr>
    </w:p>
    <w:bookmarkEnd w:id="155"/>
    <w:bookmarkEnd w:id="156"/>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危险化学性废物处置服务</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4256"/>
        <w:gridCol w:w="1584"/>
        <w:gridCol w:w="1256"/>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类别</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成分</w:t>
            </w:r>
          </w:p>
        </w:tc>
        <w:tc>
          <w:tcPr>
            <w:tcW w:w="15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年预计处置量</w:t>
            </w: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lang w:eastAsia="zh-CN"/>
              </w:rPr>
            </w:pPr>
            <w:r>
              <w:rPr>
                <w:rFonts w:hint="eastAsia" w:ascii="仿宋" w:hAnsi="仿宋" w:eastAsia="仿宋" w:cstheme="minorBidi"/>
                <w:color w:val="000000"/>
                <w:kern w:val="2"/>
                <w:sz w:val="24"/>
                <w:szCs w:val="22"/>
                <w:lang w:eastAsia="zh-CN"/>
              </w:rPr>
              <w:t>单价（元）</w:t>
            </w: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lang w:eastAsia="zh-CN"/>
              </w:rPr>
            </w:pPr>
            <w:r>
              <w:rPr>
                <w:rFonts w:hint="eastAsia" w:ascii="仿宋" w:hAnsi="仿宋" w:eastAsia="仿宋" w:cstheme="minorBidi"/>
                <w:color w:val="000000"/>
                <w:kern w:val="2"/>
                <w:sz w:val="24"/>
                <w:szCs w:val="22"/>
                <w:lang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12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一般化学品</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乙醇、冰醋酸、戊二醛、盐酸、二甲苯、丙酮、甲醇、三氯甲烷、异丙醇、磷酸、硫酸、硼酸、氢氧化钠、氢氧化钾、对氨基酚、氯乙酸钠、碘酸钾、亚硫酸氢钠、过氧化氢、环氧乙烷、次氯酸钠、硝酸、过氧乙酸、硫磺、碱式氯化铝等</w:t>
            </w:r>
          </w:p>
        </w:tc>
        <w:tc>
          <w:tcPr>
            <w:tcW w:w="15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1500公斤</w:t>
            </w: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2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高毒化学品</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苯酚、甲醛、N,N-二甲基甲酰胺、乙腈、对苯二酚、氟化钠、丙烯酰胺、多聚甲醛、汞等</w:t>
            </w:r>
          </w:p>
          <w:p>
            <w:pPr>
              <w:spacing w:line="400" w:lineRule="exact"/>
              <w:jc w:val="left"/>
              <w:rPr>
                <w:rFonts w:ascii="仿宋" w:hAnsi="仿宋" w:eastAsia="仿宋" w:cstheme="minorBidi"/>
                <w:color w:val="000000"/>
                <w:kern w:val="2"/>
                <w:sz w:val="24"/>
                <w:szCs w:val="22"/>
              </w:rPr>
            </w:pPr>
          </w:p>
        </w:tc>
        <w:tc>
          <w:tcPr>
            <w:tcW w:w="15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5000克</w:t>
            </w: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2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实验室废液</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w:t>
            </w:r>
          </w:p>
        </w:tc>
        <w:tc>
          <w:tcPr>
            <w:tcW w:w="15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theme="minorBidi"/>
                <w:color w:val="000000"/>
                <w:kern w:val="2"/>
                <w:sz w:val="24"/>
                <w:szCs w:val="22"/>
              </w:rPr>
            </w:pPr>
            <w:r>
              <w:rPr>
                <w:rFonts w:hint="eastAsia" w:ascii="仿宋" w:hAnsi="仿宋" w:eastAsia="仿宋" w:cstheme="minorBidi"/>
                <w:color w:val="000000"/>
                <w:kern w:val="2"/>
                <w:sz w:val="24"/>
                <w:szCs w:val="22"/>
              </w:rPr>
              <w:t>1800公斤</w:t>
            </w: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27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lang w:eastAsia="zh-CN"/>
              </w:rPr>
            </w:pPr>
            <w:r>
              <w:rPr>
                <w:rFonts w:hint="eastAsia" w:ascii="仿宋" w:hAnsi="仿宋" w:eastAsia="仿宋" w:cstheme="minorBidi"/>
                <w:color w:val="000000"/>
                <w:kern w:val="2"/>
                <w:sz w:val="24"/>
                <w:szCs w:val="22"/>
                <w:lang w:eastAsia="zh-CN"/>
              </w:rPr>
              <w:t>合计</w:t>
            </w:r>
          </w:p>
        </w:tc>
        <w:tc>
          <w:tcPr>
            <w:tcW w:w="4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c>
          <w:tcPr>
            <w:tcW w:w="15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c>
          <w:tcPr>
            <w:tcW w:w="125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theme="minorBidi"/>
                <w:color w:val="000000"/>
                <w:kern w:val="2"/>
                <w:sz w:val="24"/>
                <w:szCs w:val="22"/>
              </w:rPr>
            </w:pPr>
          </w:p>
        </w:tc>
      </w:tr>
    </w:tbl>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w:t>
      </w:r>
      <w:r>
        <w:rPr>
          <w:rFonts w:hint="eastAsia" w:ascii="方正仿宋_GBK" w:hAnsi="宋体" w:eastAsia="方正仿宋_GBK" w:cs="Times New Roman"/>
          <w:color w:val="auto"/>
          <w:sz w:val="24"/>
          <w:szCs w:val="24"/>
        </w:rPr>
        <w:t>投标报价为包干价，包含但不限于</w:t>
      </w:r>
      <w:r>
        <w:rPr>
          <w:rFonts w:hint="eastAsia" w:ascii="方正仿宋_GBK" w:hAnsi="宋体" w:eastAsia="方正仿宋_GBK" w:cs="Times New Roman"/>
          <w:color w:val="auto"/>
          <w:sz w:val="24"/>
          <w:szCs w:val="24"/>
          <w:lang w:eastAsia="zh-CN"/>
        </w:rPr>
        <w:t>装卸车费、运输费、处置费</w:t>
      </w:r>
      <w:r>
        <w:rPr>
          <w:rFonts w:hint="eastAsia" w:ascii="方正仿宋_GBK" w:hAnsi="宋体" w:eastAsia="方正仿宋_GBK" w:cs="Times New Roman"/>
          <w:color w:val="auto"/>
          <w:sz w:val="24"/>
          <w:szCs w:val="24"/>
        </w:rPr>
        <w:t>、保险费、税费等各项费用</w:t>
      </w:r>
      <w:r>
        <w:rPr>
          <w:rFonts w:hint="eastAsia" w:ascii="方正仿宋_GBK" w:hAnsi="宋体" w:eastAsia="方正仿宋_GBK" w:cs="Times New Roman"/>
          <w:color w:val="auto"/>
          <w:sz w:val="24"/>
          <w:szCs w:val="24"/>
          <w:lang w:eastAsia="zh-CN"/>
        </w:rPr>
        <w:t>。</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57" w:name="OLE_LINK1"/>
      <w:bookmarkStart w:id="158" w:name="OLE_LINK2"/>
      <w:r>
        <w:rPr>
          <w:rFonts w:hint="eastAsia" w:ascii="方正仿宋_GBK" w:hAnsi="宋体" w:eastAsia="方正仿宋_GBK" w:cs="Times New Roman"/>
          <w:color w:val="auto"/>
          <w:sz w:val="24"/>
          <w:szCs w:val="28"/>
        </w:rPr>
        <w:t>，并逐页签字或盖章。</w:t>
      </w:r>
      <w:bookmarkEnd w:id="157"/>
      <w:bookmarkEnd w:id="158"/>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9" w:name="_Toc485108797"/>
      <w:bookmarkStart w:id="160" w:name="_Toc313008357"/>
      <w:bookmarkStart w:id="161" w:name="_Toc480979019"/>
      <w:bookmarkStart w:id="162" w:name="_Toc342913420"/>
      <w:bookmarkStart w:id="163" w:name="_Toc313888361"/>
      <w:r>
        <w:rPr>
          <w:rFonts w:hint="eastAsia"/>
          <w:b/>
          <w:color w:val="auto"/>
        </w:rPr>
        <w:t>二、服务部分</w:t>
      </w:r>
      <w:bookmarkEnd w:id="159"/>
      <w:bookmarkEnd w:id="160"/>
      <w:bookmarkEnd w:id="161"/>
      <w:bookmarkEnd w:id="162"/>
      <w:bookmarkEnd w:id="163"/>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4" w:name="_Toc342913421"/>
      <w:bookmarkStart w:id="165" w:name="_Toc480979020"/>
      <w:bookmarkStart w:id="166" w:name="_Toc313008358"/>
      <w:bookmarkStart w:id="167" w:name="_Toc313888362"/>
      <w:bookmarkStart w:id="168" w:name="_Toc485108798"/>
      <w:r>
        <w:rPr>
          <w:rFonts w:hint="eastAsia"/>
          <w:b/>
          <w:color w:val="auto"/>
        </w:rPr>
        <w:t>三、商务部分</w:t>
      </w:r>
      <w:bookmarkEnd w:id="164"/>
      <w:bookmarkEnd w:id="165"/>
      <w:bookmarkEnd w:id="166"/>
      <w:bookmarkEnd w:id="167"/>
      <w:bookmarkEnd w:id="168"/>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9"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9"/>
      <w:bookmarkStart w:id="170" w:name="_Toc313008359"/>
      <w:bookmarkStart w:id="171" w:name="_Toc342913422"/>
      <w:bookmarkStart w:id="172"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0"/>
      <w:bookmarkEnd w:id="171"/>
      <w:bookmarkEnd w:id="172"/>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3" w:name="OLE_LINK4"/>
      <w:bookmarkStart w:id="174"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3"/>
    <w:bookmarkEnd w:id="174"/>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4DA26C6"/>
    <w:rsid w:val="074B1659"/>
    <w:rsid w:val="07C5765D"/>
    <w:rsid w:val="07F26429"/>
    <w:rsid w:val="0ACF458A"/>
    <w:rsid w:val="0B6F68C5"/>
    <w:rsid w:val="0BDC31C7"/>
    <w:rsid w:val="0BE1258C"/>
    <w:rsid w:val="0E0E625A"/>
    <w:rsid w:val="0E4D3D6E"/>
    <w:rsid w:val="0E5721EA"/>
    <w:rsid w:val="0E5A796A"/>
    <w:rsid w:val="0E5B6625"/>
    <w:rsid w:val="0E9859A3"/>
    <w:rsid w:val="0ECE4584"/>
    <w:rsid w:val="0F291536"/>
    <w:rsid w:val="0FAB0EE6"/>
    <w:rsid w:val="10246EEB"/>
    <w:rsid w:val="104D689B"/>
    <w:rsid w:val="109D57E0"/>
    <w:rsid w:val="134E0964"/>
    <w:rsid w:val="14C6168E"/>
    <w:rsid w:val="18130842"/>
    <w:rsid w:val="19B7492C"/>
    <w:rsid w:val="1B925650"/>
    <w:rsid w:val="1CED540D"/>
    <w:rsid w:val="1CF736B7"/>
    <w:rsid w:val="1D632E00"/>
    <w:rsid w:val="1DD87EDC"/>
    <w:rsid w:val="1F6D6E4A"/>
    <w:rsid w:val="1FCE723D"/>
    <w:rsid w:val="203372B2"/>
    <w:rsid w:val="204C6181"/>
    <w:rsid w:val="20FB0BC7"/>
    <w:rsid w:val="21C45BE8"/>
    <w:rsid w:val="21F678C9"/>
    <w:rsid w:val="23743B1F"/>
    <w:rsid w:val="254D6667"/>
    <w:rsid w:val="25B67319"/>
    <w:rsid w:val="25B7688A"/>
    <w:rsid w:val="25B91E1A"/>
    <w:rsid w:val="26380176"/>
    <w:rsid w:val="271E4A07"/>
    <w:rsid w:val="275D539C"/>
    <w:rsid w:val="28CD4235"/>
    <w:rsid w:val="28E31299"/>
    <w:rsid w:val="2BBD2276"/>
    <w:rsid w:val="2F1F1F02"/>
    <w:rsid w:val="2F2348BD"/>
    <w:rsid w:val="2F6F1AD9"/>
    <w:rsid w:val="2FD06C0B"/>
    <w:rsid w:val="30A44277"/>
    <w:rsid w:val="32050A97"/>
    <w:rsid w:val="3361798A"/>
    <w:rsid w:val="35E87A5C"/>
    <w:rsid w:val="369E4A52"/>
    <w:rsid w:val="375A306E"/>
    <w:rsid w:val="38442273"/>
    <w:rsid w:val="38C010B0"/>
    <w:rsid w:val="391C67AE"/>
    <w:rsid w:val="39A3534F"/>
    <w:rsid w:val="3B30241A"/>
    <w:rsid w:val="3C4F6F1A"/>
    <w:rsid w:val="3DD60FEB"/>
    <w:rsid w:val="3E263CAA"/>
    <w:rsid w:val="3E6B192F"/>
    <w:rsid w:val="41007A8F"/>
    <w:rsid w:val="415869FC"/>
    <w:rsid w:val="42030507"/>
    <w:rsid w:val="461B60BF"/>
    <w:rsid w:val="475461C4"/>
    <w:rsid w:val="477A0BC3"/>
    <w:rsid w:val="47F3755A"/>
    <w:rsid w:val="492C6FBB"/>
    <w:rsid w:val="499D1F70"/>
    <w:rsid w:val="4A1025A8"/>
    <w:rsid w:val="4AC26B09"/>
    <w:rsid w:val="4AD41B9B"/>
    <w:rsid w:val="4BE8259F"/>
    <w:rsid w:val="4C4E289A"/>
    <w:rsid w:val="4F2E0C11"/>
    <w:rsid w:val="514069D9"/>
    <w:rsid w:val="51D77CAA"/>
    <w:rsid w:val="52ED493F"/>
    <w:rsid w:val="55297C80"/>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815672"/>
    <w:rsid w:val="6972525B"/>
    <w:rsid w:val="69FC5E8B"/>
    <w:rsid w:val="6B217424"/>
    <w:rsid w:val="6B28360F"/>
    <w:rsid w:val="6B9F4D55"/>
    <w:rsid w:val="6BAA3DD9"/>
    <w:rsid w:val="6DC70D5C"/>
    <w:rsid w:val="6E45126B"/>
    <w:rsid w:val="6F062BB9"/>
    <w:rsid w:val="70E64A50"/>
    <w:rsid w:val="71231A63"/>
    <w:rsid w:val="73B34AD5"/>
    <w:rsid w:val="783A1618"/>
    <w:rsid w:val="788222E3"/>
    <w:rsid w:val="7908485F"/>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16587</Words>
  <Characters>17219</Characters>
  <Lines>182</Lines>
  <Paragraphs>51</Paragraphs>
  <TotalTime>9</TotalTime>
  <ScaleCrop>false</ScaleCrop>
  <LinksUpToDate>false</LinksUpToDate>
  <CharactersWithSpaces>18495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2023-04-03T00:58:00Z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D90EFDEDCD294DEAB041A069E42458C9</vt:lpwstr>
  </property>
</Properties>
</file>