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2023FW041</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1号楼配电室3台低压开关改造服务</w:t>
      </w: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一</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一、项目一览表</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二、服务要求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一、服务时间、地点及验收方式</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二、质量保证及售后服务</w:t>
      </w:r>
      <w:r>
        <w:rPr>
          <w:color w:val="auto"/>
        </w:rPr>
        <w:tab/>
      </w:r>
      <w:r>
        <w:rPr>
          <w:color w:val="auto"/>
        </w:rPr>
        <w:fldChar w:fldCharType="begin"/>
      </w:r>
      <w:r>
        <w:rPr>
          <w:color w:val="auto"/>
        </w:rPr>
        <w:instrText xml:space="preserve"> PAGEREF _Toc279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_Toc15905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w:t>
      </w:r>
      <w:r>
        <w:rPr>
          <w:rFonts w:hint="eastAsia" w:ascii="微软雅黑" w:hAnsi="微软雅黑" w:eastAsia="微软雅黑" w:cs="微软雅黑"/>
          <w:color w:val="auto"/>
          <w:szCs w:val="24"/>
          <w:lang w:eastAsia="zh-CN"/>
        </w:rPr>
        <w:t>验收方式</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五</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485108766"/>
      <w:bookmarkStart w:id="2" w:name="_Toc11641050"/>
      <w:bookmarkStart w:id="3" w:name="_Toc25875"/>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1号楼配电室3台低压开关改造服务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3893526"/>
      <w:bookmarkStart w:id="7" w:name="_Toc28443"/>
      <w:bookmarkStart w:id="8" w:name="_Toc317775175"/>
      <w:bookmarkStart w:id="9" w:name="_Toc485108767"/>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096"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020"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1号楼配电室3台低压开关改造服务</w:t>
            </w:r>
          </w:p>
        </w:tc>
        <w:tc>
          <w:tcPr>
            <w:tcW w:w="2661"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020" w:type="dxa"/>
            <w:vAlign w:val="center"/>
          </w:tcPr>
          <w:p>
            <w:pPr>
              <w:spacing w:line="400" w:lineRule="exact"/>
              <w:ind w:firstLine="480" w:firstLineChars="200"/>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ind w:firstLine="480" w:firstLineChars="200"/>
        <w:rPr>
          <w:rFonts w:hint="eastAsia" w:ascii="方正仿宋_GBK" w:hAnsi="宋体" w:eastAsia="方正仿宋_GBK" w:cs="Times New Roman"/>
          <w:color w:val="auto"/>
          <w:sz w:val="24"/>
          <w:szCs w:val="24"/>
        </w:rPr>
      </w:pPr>
      <w:bookmarkStart w:id="16" w:name="_Toc6"/>
      <w:bookmarkStart w:id="17" w:name="_Toc11958"/>
      <w:bookmarkStart w:id="18" w:name="_Toc102227313"/>
      <w:bookmarkStart w:id="19" w:name="_Toc485108774"/>
      <w:r>
        <w:rPr>
          <w:rFonts w:hint="eastAsia" w:ascii="方正仿宋_GBK" w:hAnsi="宋体" w:eastAsia="方正仿宋_GBK" w:cs="Times New Roman"/>
          <w:color w:val="auto"/>
          <w:sz w:val="24"/>
          <w:szCs w:val="24"/>
        </w:rPr>
        <w:t>有效的三证合一营业执照（经营范围包含成套开关设备、高低压元器件等产品的销售、安装、调试、运维检修、技术咨询等服务内容）、建筑业企业资质证书（电力工程施工总承包叁级及以上）、安全生产许可证、承装（修、试）电力设施许可证、质量管理体系认证证书、高压电工操作证。</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color w:val="auto"/>
          <w:sz w:val="24"/>
          <w:szCs w:val="24"/>
          <w:lang w:eastAsia="zh-CN"/>
        </w:rPr>
        <w:t>2023</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highlight w:val="none"/>
          <w:lang w:val="en-US" w:eastAsia="zh-CN"/>
        </w:rPr>
        <w:t>1</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7</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0时至</w:t>
      </w:r>
      <w:r>
        <w:rPr>
          <w:rFonts w:hint="eastAsia" w:ascii="方正仿宋_GBK" w:hAnsi="宋体" w:eastAsia="方正仿宋_GBK"/>
          <w:color w:val="auto"/>
          <w:sz w:val="24"/>
          <w:szCs w:val="24"/>
          <w:lang w:eastAsia="zh-CN"/>
        </w:rPr>
        <w:t>2023</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0时（法定公休日、法定节假日除外）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olor w:val="auto"/>
          <w:sz w:val="24"/>
          <w:szCs w:val="24"/>
          <w:lang w:eastAsia="zh-CN"/>
        </w:rPr>
        <w:t>2023</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highlight w:val="none"/>
          <w:lang w:val="en-US" w:eastAsia="zh-CN"/>
        </w:rPr>
        <w:t>1</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13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8</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3</w:t>
      </w:r>
      <w:r>
        <w:rPr>
          <w:rFonts w:hint="eastAsia" w:ascii="方正仿宋_GBK" w:hAnsi="宋体" w:eastAsia="方正仿宋_GBK"/>
          <w:color w:val="auto"/>
          <w:sz w:val="24"/>
          <w:szCs w:val="24"/>
        </w:rPr>
        <w:t>0时</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olor w:val="auto"/>
          <w:sz w:val="24"/>
          <w:szCs w:val="24"/>
          <w:lang w:eastAsia="zh-CN"/>
        </w:rPr>
        <w:t>2023</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highlight w:val="none"/>
          <w:lang w:val="en-US" w:eastAsia="zh-CN"/>
        </w:rPr>
        <w:t>1</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13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9</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olor w:val="auto"/>
          <w:sz w:val="24"/>
          <w:szCs w:val="24"/>
          <w:lang w:eastAsia="zh-CN"/>
        </w:rPr>
        <w:t>2023</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highlight w:val="none"/>
          <w:lang w:val="en-US" w:eastAsia="zh-CN"/>
        </w:rPr>
        <w:t>1</w:t>
      </w:r>
      <w:r>
        <w:rPr>
          <w:rFonts w:hint="eastAsia" w:ascii="方正仿宋_GBK" w:hAnsi="宋体" w:eastAsia="方正仿宋_GBK"/>
          <w:color w:val="auto"/>
          <w:sz w:val="24"/>
          <w:szCs w:val="24"/>
          <w:highlight w:val="none"/>
        </w:rPr>
        <w:t>月</w:t>
      </w:r>
      <w:r>
        <w:rPr>
          <w:rFonts w:hint="eastAsia" w:ascii="方正仿宋_GBK" w:hAnsi="宋体" w:eastAsia="方正仿宋_GBK"/>
          <w:color w:val="auto"/>
          <w:sz w:val="24"/>
          <w:szCs w:val="24"/>
          <w:highlight w:val="none"/>
          <w:lang w:val="en-US" w:eastAsia="zh-CN"/>
        </w:rPr>
        <w:t>13</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9</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0</w:t>
      </w:r>
      <w:r>
        <w:rPr>
          <w:rFonts w:hint="eastAsia" w:ascii="方正仿宋_GBK" w:hAnsi="宋体" w:eastAsia="方正仿宋_GBK"/>
          <w:color w:val="auto"/>
          <w:sz w:val="24"/>
          <w:szCs w:val="24"/>
        </w:rPr>
        <w:t>0时</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373860294"/>
      <w:bookmarkStart w:id="24" w:name="_Toc54171062"/>
      <w:bookmarkStart w:id="25" w:name="_Toc54718176"/>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未线上报名的，其响应文件恕不接收，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、邓老师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rPr>
          <w:rFonts w:hint="eastAsia" w:ascii="微软雅黑" w:hAnsi="微软雅黑" w:eastAsia="微软雅黑" w:cs="微软雅黑"/>
          <w:b/>
          <w:bCs/>
          <w:color w:val="auto"/>
          <w:sz w:val="36"/>
          <w:szCs w:val="36"/>
        </w:rPr>
      </w:pPr>
      <w:bookmarkStart w:id="31" w:name="_Toc22321"/>
      <w:r>
        <w:rPr>
          <w:rFonts w:hint="eastAsia" w:ascii="微软雅黑" w:hAnsi="微软雅黑" w:eastAsia="微软雅黑" w:cs="微软雅黑"/>
          <w:b/>
          <w:bCs/>
          <w:color w:val="auto"/>
          <w:sz w:val="36"/>
          <w:szCs w:val="36"/>
        </w:rPr>
        <w:br w:type="page"/>
      </w:r>
    </w:p>
    <w:p>
      <w:pPr>
        <w:pStyle w:val="2"/>
        <w:bidi w:val="0"/>
        <w:jc w:val="center"/>
        <w:rPr>
          <w:rFonts w:hint="eastAsia"/>
          <w:b/>
          <w:color w:val="auto"/>
        </w:rPr>
      </w:pPr>
      <w:bookmarkStart w:id="180" w:name="_GoBack"/>
      <w:bookmarkEnd w:id="180"/>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方根据勘查现场后进行分项报价（报价表见附件），勘查现场联系人：杨老师，电话：13594380905。</w:t>
      </w:r>
      <w:r>
        <w:rPr>
          <w:rFonts w:hint="eastAsia" w:ascii="方正仿宋_GBK" w:hAnsi="宋体" w:eastAsia="方正仿宋_GBK" w:cs="Times New Roman"/>
          <w:color w:val="auto"/>
          <w:sz w:val="24"/>
          <w:szCs w:val="24"/>
          <w:lang w:eastAsia="zh-CN"/>
        </w:rPr>
        <w:t>响应</w:t>
      </w:r>
      <w:r>
        <w:rPr>
          <w:rFonts w:hint="eastAsia" w:ascii="方正仿宋_GBK" w:hAnsi="宋体" w:eastAsia="方正仿宋_GBK" w:cs="Times New Roman"/>
          <w:color w:val="auto"/>
          <w:sz w:val="24"/>
          <w:szCs w:val="24"/>
        </w:rPr>
        <w:t>报价包含但不限于货款、安装费、调试费、人工费、税金、管理费等所有费用，以及成交供应商人工工资、奖金、福利、社保、管理、交通、运输、利润、税金、风险费等在内的所有费用。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（三）修正错误</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本项目比选采用视频会议，</w:t>
      </w:r>
      <w:r>
        <w:rPr>
          <w:rFonts w:hint="eastAsia" w:ascii="方正仿宋_GBK" w:hAnsi="宋体" w:eastAsia="方正仿宋_GBK" w:cs="Times New Roman"/>
          <w:color w:val="auto"/>
          <w:sz w:val="24"/>
          <w:szCs w:val="24"/>
        </w:rPr>
        <w:t>各个供应商可</w:t>
      </w:r>
      <w:r>
        <w:rPr>
          <w:rFonts w:hint="eastAsia" w:ascii="方正仿宋_GBK" w:hAnsi="宋体" w:eastAsia="方正仿宋_GBK" w:cs="Times New Roman"/>
          <w:color w:val="auto"/>
          <w:sz w:val="24"/>
          <w:szCs w:val="24"/>
          <w:lang w:eastAsia="zh-CN"/>
        </w:rPr>
        <w:t>指定</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名代表</w:t>
      </w:r>
      <w:r>
        <w:rPr>
          <w:rFonts w:hint="eastAsia" w:ascii="方正仿宋_GBK" w:hAnsi="宋体" w:eastAsia="方正仿宋_GBK" w:cs="Times New Roman"/>
          <w:color w:val="auto"/>
          <w:sz w:val="24"/>
          <w:szCs w:val="24"/>
          <w:lang w:eastAsia="zh-CN"/>
        </w:rPr>
        <w:t>通过视频会议参与</w:t>
      </w:r>
      <w:r>
        <w:rPr>
          <w:rFonts w:hint="eastAsia" w:ascii="方正仿宋_GBK" w:hAnsi="宋体" w:eastAsia="方正仿宋_GBK" w:cs="Times New Roman"/>
          <w:color w:val="auto"/>
          <w:sz w:val="24"/>
          <w:szCs w:val="24"/>
        </w:rPr>
        <w:t>参与比选</w:t>
      </w:r>
      <w:r>
        <w:rPr>
          <w:rFonts w:hint="eastAsia" w:ascii="仿宋" w:hAnsi="仿宋" w:eastAsia="仿宋" w:cs="仿宋"/>
          <w:b/>
          <w:bCs/>
          <w:color w:val="auto"/>
          <w:sz w:val="24"/>
        </w:rPr>
        <w:t>。</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79714298"/>
      <w:bookmarkStart w:id="39" w:name="_Toc102227319"/>
      <w:bookmarkStart w:id="40" w:name="_Toc403569780"/>
      <w:bookmarkStart w:id="41" w:name="_Toc18122"/>
      <w:bookmarkStart w:id="42" w:name="_Toc19143"/>
      <w:bookmarkStart w:id="43"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pStyle w:val="3"/>
        <w:spacing w:line="240" w:lineRule="auto"/>
        <w:rPr>
          <w:rFonts w:hint="eastAsia" w:ascii="微软雅黑" w:hAnsi="微软雅黑" w:eastAsia="微软雅黑" w:cs="微软雅黑"/>
          <w:color w:val="auto"/>
          <w:sz w:val="24"/>
          <w:szCs w:val="24"/>
        </w:rPr>
      </w:pPr>
      <w:bookmarkStart w:id="65" w:name="_Toc29479"/>
      <w:bookmarkStart w:id="66" w:name="_Toc15659"/>
      <w:bookmarkStart w:id="67" w:name="_Toc7675"/>
      <w:r>
        <w:rPr>
          <w:rFonts w:hint="eastAsia" w:ascii="微软雅黑" w:hAnsi="微软雅黑" w:eastAsia="微软雅黑" w:cs="微软雅黑"/>
          <w:color w:val="auto"/>
          <w:sz w:val="24"/>
          <w:szCs w:val="24"/>
        </w:rPr>
        <w:t>十、其他</w:t>
      </w:r>
      <w:bookmarkEnd w:id="65"/>
      <w:bookmarkEnd w:id="66"/>
      <w:bookmarkEnd w:id="6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390" w:lineRule="exact"/>
        <w:rPr>
          <w:rFonts w:ascii="方正仿宋_GBK" w:hAnsi="宋体" w:eastAsia="方正仿宋_GBK" w:cs="Times New Roman"/>
          <w:b/>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8" w:name="_Toc485108784"/>
      <w:bookmarkStart w:id="69" w:name="_Toc11770"/>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8"/>
      <w:bookmarkEnd w:id="69"/>
    </w:p>
    <w:p>
      <w:pPr>
        <w:rPr>
          <w:rFonts w:ascii="Times New Roman" w:hAnsi="Times New Roman" w:eastAsia="宋体" w:cs="Times New Roman"/>
          <w:color w:val="auto"/>
          <w:sz w:val="28"/>
          <w:szCs w:val="20"/>
        </w:rPr>
      </w:pPr>
    </w:p>
    <w:p>
      <w:pPr>
        <w:pStyle w:val="3"/>
        <w:spacing w:line="240" w:lineRule="auto"/>
        <w:rPr>
          <w:rFonts w:hint="eastAsia" w:ascii="微软雅黑" w:hAnsi="微软雅黑" w:eastAsia="微软雅黑" w:cs="微软雅黑"/>
          <w:color w:val="auto"/>
          <w:sz w:val="24"/>
          <w:szCs w:val="24"/>
        </w:rPr>
      </w:pPr>
      <w:bookmarkStart w:id="70" w:name="_Toc485108785"/>
      <w:bookmarkStart w:id="71" w:name="_Toc766"/>
      <w:bookmarkStart w:id="72" w:name="_Toc12789058"/>
      <w:r>
        <w:rPr>
          <w:rFonts w:hint="eastAsia" w:ascii="微软雅黑" w:hAnsi="微软雅黑" w:eastAsia="微软雅黑" w:cs="微软雅黑"/>
          <w:color w:val="auto"/>
          <w:sz w:val="24"/>
          <w:szCs w:val="24"/>
        </w:rPr>
        <w:t>一、</w:t>
      </w:r>
      <w:bookmarkEnd w:id="70"/>
      <w:r>
        <w:rPr>
          <w:rFonts w:hint="eastAsia" w:ascii="微软雅黑" w:hAnsi="微软雅黑" w:eastAsia="微软雅黑" w:cs="微软雅黑"/>
          <w:color w:val="auto"/>
          <w:sz w:val="24"/>
          <w:szCs w:val="24"/>
        </w:rPr>
        <w:t>项目一览表</w:t>
      </w:r>
      <w:bookmarkEnd w:id="71"/>
    </w:p>
    <w:tbl>
      <w:tblPr>
        <w:tblStyle w:val="58"/>
        <w:tblW w:w="8647" w:type="dxa"/>
        <w:tblInd w:w="534" w:type="dxa"/>
        <w:tblLayout w:type="fixed"/>
        <w:tblCellMar>
          <w:top w:w="0" w:type="dxa"/>
          <w:left w:w="108" w:type="dxa"/>
          <w:bottom w:w="0" w:type="dxa"/>
          <w:right w:w="108" w:type="dxa"/>
        </w:tblCellMar>
      </w:tblPr>
      <w:tblGrid>
        <w:gridCol w:w="3534"/>
        <w:gridCol w:w="2713"/>
        <w:gridCol w:w="2400"/>
      </w:tblGrid>
      <w:tr>
        <w:tblPrEx>
          <w:tblCellMar>
            <w:top w:w="0" w:type="dxa"/>
            <w:left w:w="108" w:type="dxa"/>
            <w:bottom w:w="0" w:type="dxa"/>
            <w:right w:w="108" w:type="dxa"/>
          </w:tblCellMar>
        </w:tblPrEx>
        <w:tc>
          <w:tcPr>
            <w:tcW w:w="3534" w:type="dxa"/>
            <w:tcBorders>
              <w:top w:val="single" w:color="auto" w:sz="4" w:space="0"/>
              <w:left w:val="single" w:color="auto" w:sz="4" w:space="0"/>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项目名称</w:t>
            </w:r>
          </w:p>
        </w:tc>
        <w:tc>
          <w:tcPr>
            <w:tcW w:w="27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eastAsia" w:ascii="方正仿宋_GBK" w:hAnsi="仿宋" w:eastAsia="方正仿宋_GBK" w:cs="仿宋"/>
                <w:color w:val="auto"/>
                <w:sz w:val="24"/>
                <w:szCs w:val="24"/>
                <w:lang w:eastAsia="zh-CN"/>
              </w:rPr>
            </w:pPr>
            <w:r>
              <w:rPr>
                <w:rFonts w:hint="eastAsia" w:ascii="方正仿宋_GBK" w:hAnsi="仿宋" w:eastAsia="方正仿宋_GBK" w:cs="仿宋"/>
                <w:color w:val="auto"/>
                <w:sz w:val="24"/>
                <w:szCs w:val="24"/>
              </w:rPr>
              <w:t>成交供应商数量</w:t>
            </w:r>
            <w:r>
              <w:rPr>
                <w:rFonts w:hint="eastAsia" w:ascii="方正仿宋_GBK" w:hAnsi="仿宋" w:eastAsia="方正仿宋_GBK" w:cs="仿宋"/>
                <w:color w:val="auto"/>
                <w:sz w:val="24"/>
                <w:szCs w:val="24"/>
                <w:lang w:eastAsia="zh-CN"/>
              </w:rPr>
              <w:t>（名）</w:t>
            </w:r>
          </w:p>
        </w:tc>
        <w:tc>
          <w:tcPr>
            <w:tcW w:w="240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备注</w:t>
            </w:r>
          </w:p>
        </w:tc>
      </w:tr>
      <w:tr>
        <w:tblPrEx>
          <w:tblCellMar>
            <w:top w:w="0" w:type="dxa"/>
            <w:left w:w="108" w:type="dxa"/>
            <w:bottom w:w="0" w:type="dxa"/>
            <w:right w:w="108" w:type="dxa"/>
          </w:tblCellMar>
        </w:tblPrEx>
        <w:tc>
          <w:tcPr>
            <w:tcW w:w="3534" w:type="dxa"/>
            <w:tcBorders>
              <w:top w:val="single" w:color="auto" w:sz="4" w:space="0"/>
              <w:left w:val="single" w:color="auto" w:sz="4" w:space="0"/>
              <w:bottom w:val="single" w:color="auto" w:sz="4" w:space="0"/>
              <w:right w:val="single" w:color="auto" w:sz="4" w:space="0"/>
            </w:tcBorders>
            <w:vAlign w:val="center"/>
          </w:tcPr>
          <w:p>
            <w:pPr>
              <w:spacing w:line="560" w:lineRule="exact"/>
              <w:rPr>
                <w:rFonts w:ascii="方正仿宋_GBK" w:hAnsi="仿宋" w:eastAsia="方正仿宋_GBK" w:cs="仿宋"/>
                <w:color w:val="auto"/>
                <w:sz w:val="24"/>
                <w:szCs w:val="24"/>
              </w:rPr>
            </w:pPr>
            <w:r>
              <w:rPr>
                <w:rFonts w:hint="eastAsia" w:ascii="方正仿宋_GBK" w:hAnsi="宋体" w:eastAsia="方正仿宋_GBK"/>
                <w:color w:val="auto"/>
                <w:szCs w:val="21"/>
                <w:lang w:val="en-US" w:eastAsia="zh-CN"/>
              </w:rPr>
              <w:t>1号楼配电室3台低压开关改造服务</w:t>
            </w:r>
          </w:p>
        </w:tc>
        <w:tc>
          <w:tcPr>
            <w:tcW w:w="2713"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ascii="方正仿宋_GBK" w:hAnsi="仿宋" w:eastAsia="方正仿宋_GBK" w:cs="仿宋"/>
                <w:color w:val="auto"/>
                <w:sz w:val="24"/>
                <w:szCs w:val="24"/>
              </w:rPr>
            </w:pPr>
            <w:r>
              <w:rPr>
                <w:rFonts w:hint="eastAsia" w:ascii="方正仿宋_GBK" w:hAnsi="仿宋" w:eastAsia="方正仿宋_GBK" w:cs="仿宋"/>
                <w:color w:val="auto"/>
                <w:sz w:val="24"/>
                <w:szCs w:val="24"/>
              </w:rPr>
              <w:t>1</w:t>
            </w:r>
          </w:p>
        </w:tc>
        <w:tc>
          <w:tcPr>
            <w:tcW w:w="2400" w:type="dxa"/>
            <w:tcBorders>
              <w:top w:val="single" w:color="auto" w:sz="4" w:space="0"/>
              <w:left w:val="nil"/>
              <w:bottom w:val="single" w:color="auto" w:sz="4" w:space="0"/>
              <w:right w:val="single" w:color="auto" w:sz="4" w:space="0"/>
            </w:tcBorders>
            <w:vAlign w:val="center"/>
          </w:tcPr>
          <w:p>
            <w:pPr>
              <w:snapToGrid w:val="0"/>
              <w:spacing w:line="500" w:lineRule="exact"/>
              <w:jc w:val="center"/>
              <w:rPr>
                <w:rFonts w:hint="default" w:ascii="方正仿宋_GBK" w:hAnsi="仿宋" w:eastAsia="方正仿宋_GBK" w:cs="仿宋"/>
                <w:color w:val="auto"/>
                <w:sz w:val="24"/>
                <w:szCs w:val="24"/>
                <w:lang w:val="en-US" w:eastAsia="zh-CN"/>
              </w:rPr>
            </w:pPr>
            <w:r>
              <w:rPr>
                <w:rFonts w:hint="eastAsia" w:ascii="方正仿宋_GBK" w:hAnsi="宋体" w:eastAsia="方正仿宋_GBK"/>
                <w:color w:val="auto"/>
                <w:szCs w:val="21"/>
                <w:lang w:val="en-US" w:eastAsia="zh-CN"/>
              </w:rPr>
              <w:t>材料清单详见附件</w:t>
            </w:r>
          </w:p>
        </w:tc>
      </w:tr>
    </w:tbl>
    <w:p>
      <w:pPr>
        <w:ind w:firstLine="480" w:firstLineChars="200"/>
        <w:rPr>
          <w:rFonts w:ascii="方正仿宋_GBK" w:hAnsi="仿宋" w:eastAsia="方正仿宋_GBK" w:cs="仿宋"/>
          <w:color w:val="auto"/>
          <w:sz w:val="24"/>
          <w:szCs w:val="24"/>
        </w:rPr>
      </w:pPr>
    </w:p>
    <w:p>
      <w:pPr>
        <w:pStyle w:val="3"/>
        <w:spacing w:line="240" w:lineRule="auto"/>
        <w:rPr>
          <w:rFonts w:hint="eastAsia" w:ascii="微软雅黑" w:hAnsi="微软雅黑" w:eastAsia="微软雅黑" w:cs="微软雅黑"/>
          <w:color w:val="auto"/>
          <w:sz w:val="24"/>
          <w:szCs w:val="24"/>
        </w:rPr>
      </w:pPr>
      <w:bookmarkStart w:id="73" w:name="_Toc485108786"/>
      <w:bookmarkStart w:id="74" w:name="_Toc18590"/>
      <w:r>
        <w:rPr>
          <w:rFonts w:hint="eastAsia" w:ascii="微软雅黑" w:hAnsi="微软雅黑" w:eastAsia="微软雅黑" w:cs="微软雅黑"/>
          <w:color w:val="auto"/>
          <w:sz w:val="24"/>
          <w:szCs w:val="24"/>
        </w:rPr>
        <w:t>二、服务要求</w:t>
      </w:r>
      <w:bookmarkEnd w:id="73"/>
      <w:bookmarkEnd w:id="74"/>
    </w:p>
    <w:p>
      <w:pPr>
        <w:snapToGrid w:val="0"/>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（一）设施设备到货后，服务方需在夜间完成所有改造工作，并完成调试，保证正常运行，不得影响正常医疗工作。</w:t>
      </w:r>
    </w:p>
    <w:p>
      <w:pPr>
        <w:snapToGrid w:val="0"/>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（二）服务方应编制的改造方案，具有科学性和可操作性，且符合医院运行需求，严格按照电力操作流程实施改造。</w:t>
      </w:r>
    </w:p>
    <w:p>
      <w:pPr>
        <w:snapToGrid w:val="0"/>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（三）施工人员须具备相应的从业资质，开展各项工作须符合国家及行业的相关标准、规程及要求。作业是需佩戴相应安全防护用品。</w:t>
      </w:r>
    </w:p>
    <w:p>
      <w:pPr>
        <w:snapToGrid w:val="0"/>
        <w:spacing w:line="400" w:lineRule="exact"/>
        <w:ind w:firstLine="480" w:firstLineChars="200"/>
        <w:jc w:val="left"/>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（四）在施工过程中，服务方应采取有效的安全措施，保证施工人员和其他人员的人身安全，并承担因安全事故导致的一切经济和法律责任。如有损坏财产须照价赔偿。</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keepNext/>
        <w:keepLines/>
        <w:spacing w:line="400" w:lineRule="exact"/>
        <w:outlineLvl w:val="2"/>
        <w:rPr>
          <w:rFonts w:hint="eastAsia" w:ascii="方正仿宋_GBK" w:hAnsi="宋体" w:eastAsia="方正仿宋_GBK" w:cs="Times New Roman"/>
          <w:color w:val="auto"/>
          <w:sz w:val="24"/>
          <w:szCs w:val="24"/>
        </w:rPr>
      </w:pPr>
    </w:p>
    <w:p>
      <w:pPr>
        <w:pStyle w:val="2"/>
        <w:jc w:val="center"/>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75" w:name="_Toc28327"/>
      <w:bookmarkStart w:id="76" w:name="_Toc48510878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72"/>
      <w:bookmarkEnd w:id="75"/>
      <w:bookmarkEnd w:id="76"/>
      <w:bookmarkStart w:id="77" w:name="_Toc11641055"/>
      <w:bookmarkStart w:id="78" w:name="_Toc12789059"/>
    </w:p>
    <w:p>
      <w:pPr>
        <w:pStyle w:val="3"/>
        <w:spacing w:line="240" w:lineRule="auto"/>
        <w:rPr>
          <w:rFonts w:hint="eastAsia" w:ascii="微软雅黑" w:hAnsi="微软雅黑" w:eastAsia="微软雅黑" w:cs="微软雅黑"/>
          <w:color w:val="auto"/>
          <w:sz w:val="24"/>
          <w:szCs w:val="24"/>
        </w:rPr>
      </w:pPr>
      <w:bookmarkStart w:id="79" w:name="_Toc485108788"/>
      <w:bookmarkStart w:id="80" w:name="_Toc2302"/>
      <w:bookmarkStart w:id="81" w:name="_Toc344475121"/>
      <w:r>
        <w:rPr>
          <w:rFonts w:hint="eastAsia" w:ascii="微软雅黑" w:hAnsi="微软雅黑" w:eastAsia="微软雅黑" w:cs="微软雅黑"/>
          <w:color w:val="auto"/>
          <w:sz w:val="24"/>
          <w:szCs w:val="24"/>
        </w:rPr>
        <w:t>一、服务地点及验收方式</w:t>
      </w:r>
      <w:bookmarkEnd w:id="79"/>
      <w:bookmarkEnd w:id="80"/>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）服务地点：重庆医科大学附属永川医院（</w:t>
      </w:r>
      <w:r>
        <w:rPr>
          <w:rFonts w:hint="eastAsia" w:ascii="方正仿宋_GBK" w:hAnsi="宋体" w:eastAsia="方正仿宋_GBK"/>
          <w:color w:val="auto"/>
          <w:sz w:val="24"/>
          <w:szCs w:val="24"/>
        </w:rPr>
        <w:t>重庆市永川区萱花路439号</w:t>
      </w:r>
      <w:r>
        <w:rPr>
          <w:rFonts w:hint="eastAsia" w:ascii="方正仿宋_GBK" w:hAnsi="宋体" w:eastAsia="方正仿宋_GBK" w:cs="Times New Roman"/>
          <w:color w:val="auto"/>
          <w:sz w:val="24"/>
          <w:szCs w:val="24"/>
        </w:rPr>
        <w:t xml:space="preserve">） </w:t>
      </w:r>
    </w:p>
    <w:p>
      <w:pPr>
        <w:pStyle w:val="3"/>
        <w:keepNext/>
        <w:keepLines/>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w:t>
      </w:r>
      <w:bookmarkEnd w:id="81"/>
      <w:bookmarkStart w:id="82" w:name="_Toc485108789"/>
      <w:bookmarkStart w:id="83" w:name="_Toc279"/>
      <w:bookmarkStart w:id="84" w:name="_Toc485108790"/>
      <w:bookmarkStart w:id="85" w:name="_Toc344475122"/>
      <w:r>
        <w:rPr>
          <w:rFonts w:hint="eastAsia" w:ascii="方正仿宋_GBK" w:hAnsi="宋体" w:eastAsia="方正仿宋_GBK" w:cs="Times New Roman"/>
          <w:b w:val="0"/>
          <w:color w:val="auto"/>
          <w:kern w:val="2"/>
          <w:sz w:val="24"/>
          <w:szCs w:val="24"/>
          <w:lang w:val="en-US" w:eastAsia="zh-CN" w:bidi="ar-SA"/>
        </w:rPr>
        <w:t>二）验收方式：设施安装调试完成后，双方组织共同验收，服务方需移交检验报告或产品合格证等材料，以及所用材料清单，验收完成后双方人员签字确认。</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二、质量保证及售后服务</w:t>
      </w:r>
      <w:bookmarkEnd w:id="82"/>
      <w:bookmarkEnd w:id="83"/>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（一）产品质量：采购的产品为正规厂家生产的全新合格产品，产品质量须符合国家相关的产品质量标准及要求，提供产品检验报告或合格证明。</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二</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质量保证期：至少</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年，质保期内免费维修、更换。</w:t>
      </w:r>
      <w:r>
        <w:rPr>
          <w:rFonts w:hint="eastAsia" w:ascii="方正仿宋_GBK" w:hAnsi="宋体" w:eastAsia="方正仿宋_GBK" w:cs="Times New Roman"/>
          <w:color w:val="auto"/>
          <w:sz w:val="24"/>
          <w:szCs w:val="24"/>
        </w:rPr>
        <w:t>质量保证期过后，医院需要继续由原成交供应商和制造商提供售后服务的，成交供应商和制造商应以优惠价格提供售后服务。</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三</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售后服务：</w:t>
      </w:r>
      <w:r>
        <w:rPr>
          <w:rFonts w:hint="eastAsia" w:ascii="方正仿宋_GBK" w:hAnsi="宋体" w:eastAsia="方正仿宋_GBK" w:cs="Times New Roman"/>
          <w:color w:val="auto"/>
          <w:sz w:val="24"/>
          <w:szCs w:val="24"/>
        </w:rPr>
        <w:t>服务方接到采购方通知后应立即响应，电话咨询不能解决的应在1小时内安排技术人员到达现场处理，直至解除故障，质保期内免费维修、更换，质保期外提供售后维修服务的，维修只收取配件费。服务方提供有效的维修联系人和电话，如有变更，应及时通知采购方。</w:t>
      </w:r>
    </w:p>
    <w:p>
      <w:pPr>
        <w:pStyle w:val="3"/>
        <w:spacing w:line="240" w:lineRule="auto"/>
        <w:rPr>
          <w:rFonts w:hint="eastAsia" w:ascii="微软雅黑" w:hAnsi="微软雅黑" w:eastAsia="微软雅黑" w:cs="微软雅黑"/>
          <w:color w:val="auto"/>
          <w:sz w:val="24"/>
          <w:szCs w:val="24"/>
        </w:rPr>
      </w:pPr>
      <w:bookmarkStart w:id="86" w:name="_Toc15905"/>
      <w:r>
        <w:rPr>
          <w:rFonts w:hint="eastAsia" w:ascii="微软雅黑" w:hAnsi="微软雅黑" w:eastAsia="微软雅黑" w:cs="微软雅黑"/>
          <w:color w:val="auto"/>
          <w:sz w:val="24"/>
          <w:szCs w:val="24"/>
        </w:rPr>
        <w:t>三、</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84"/>
      <w:bookmarkEnd w:id="85"/>
      <w:bookmarkEnd w:id="86"/>
    </w:p>
    <w:p>
      <w:pPr>
        <w:snapToGrid w:val="0"/>
        <w:spacing w:line="400" w:lineRule="exact"/>
        <w:ind w:firstLine="480" w:firstLineChars="200"/>
        <w:rPr>
          <w:rFonts w:hint="eastAsia" w:ascii="方正仿宋_GBK" w:hAnsi="宋体" w:eastAsia="方正仿宋_GBK" w:cs="宋体"/>
          <w:color w:val="auto"/>
          <w:kern w:val="0"/>
          <w:sz w:val="24"/>
          <w:szCs w:val="24"/>
          <w:lang w:eastAsia="zh-CN"/>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一</w:t>
      </w: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报价要求</w:t>
      </w:r>
    </w:p>
    <w:p>
      <w:pPr>
        <w:snapToGrid w:val="0"/>
        <w:spacing w:line="400" w:lineRule="exact"/>
        <w:ind w:firstLine="480" w:firstLineChars="200"/>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服务方自行勘查现场后进行分项报价，报价表见附件。</w:t>
      </w:r>
      <w:r>
        <w:rPr>
          <w:rFonts w:hint="eastAsia" w:ascii="方正仿宋_GBK" w:hAnsi="宋体" w:eastAsia="方正仿宋_GBK" w:cs="Times New Roman"/>
          <w:color w:val="auto"/>
          <w:sz w:val="24"/>
          <w:szCs w:val="24"/>
        </w:rPr>
        <w:t>报价包含但不限于货款、安装费、调试费、人工费、税金、管理费等所有费用，</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auto"/>
          <w:kern w:val="0"/>
          <w:sz w:val="24"/>
          <w:szCs w:val="24"/>
        </w:rPr>
      </w:pPr>
      <w:r>
        <w:rPr>
          <w:rFonts w:hint="eastAsia" w:ascii="方正仿宋_GBK" w:hAnsi="宋体" w:eastAsia="方正仿宋_GBK" w:cs="宋体"/>
          <w:color w:val="auto"/>
          <w:kern w:val="0"/>
          <w:sz w:val="24"/>
          <w:szCs w:val="24"/>
        </w:rPr>
        <w:t>（</w:t>
      </w:r>
      <w:r>
        <w:rPr>
          <w:rFonts w:hint="eastAsia" w:ascii="方正仿宋_GBK" w:hAnsi="宋体" w:eastAsia="方正仿宋_GBK" w:cs="宋体"/>
          <w:color w:val="auto"/>
          <w:kern w:val="0"/>
          <w:sz w:val="24"/>
          <w:szCs w:val="24"/>
          <w:lang w:eastAsia="zh-CN"/>
        </w:rPr>
        <w:t>二</w:t>
      </w:r>
      <w:r>
        <w:rPr>
          <w:rFonts w:hint="eastAsia" w:ascii="方正仿宋_GBK" w:hAnsi="宋体" w:eastAsia="方正仿宋_GBK" w:cs="宋体"/>
          <w:color w:val="auto"/>
          <w:kern w:val="0"/>
          <w:sz w:val="24"/>
          <w:szCs w:val="24"/>
        </w:rPr>
        <w:t>）付款方式</w:t>
      </w:r>
    </w:p>
    <w:p>
      <w:pPr>
        <w:snapToGrid w:val="0"/>
        <w:spacing w:line="400" w:lineRule="exact"/>
        <w:ind w:firstLine="480" w:firstLineChars="200"/>
        <w:rPr>
          <w:rFonts w:hint="eastAsia" w:ascii="方正仿宋_GBK" w:hAnsi="宋体" w:eastAsia="方正仿宋_GBK" w:cs="宋体"/>
          <w:color w:val="auto"/>
          <w:kern w:val="0"/>
          <w:sz w:val="24"/>
          <w:szCs w:val="24"/>
        </w:rPr>
      </w:pPr>
      <w:bookmarkStart w:id="87" w:name="_Toc403569795"/>
      <w:bookmarkStart w:id="88" w:name="_Toc7358"/>
      <w:bookmarkStart w:id="89" w:name="_Toc485108793"/>
      <w:r>
        <w:rPr>
          <w:rFonts w:hint="eastAsia" w:ascii="方正仿宋_GBK" w:hAnsi="宋体" w:eastAsia="方正仿宋_GBK" w:cs="宋体"/>
          <w:color w:val="auto"/>
          <w:kern w:val="0"/>
          <w:sz w:val="24"/>
          <w:szCs w:val="24"/>
        </w:rPr>
        <w:t>本次项目无预付款，安装验收合格后服务方提供正式发票，采购方见票后于60日内转账支付合同总金额95%，剩余5%为质量保证金，质保期满且无任何质量问题，采购方在30天内向服务方无息退还质保金。</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四</w:t>
      </w:r>
      <w:r>
        <w:rPr>
          <w:rFonts w:hint="eastAsia" w:ascii="微软雅黑" w:hAnsi="微软雅黑" w:eastAsia="微软雅黑" w:cs="微软雅黑"/>
          <w:color w:val="auto"/>
          <w:sz w:val="24"/>
          <w:szCs w:val="24"/>
        </w:rPr>
        <w:t>、其他</w:t>
      </w:r>
      <w:bookmarkEnd w:id="87"/>
      <w:bookmarkEnd w:id="88"/>
      <w:bookmarkEnd w:id="89"/>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7"/>
      <w:bookmarkEnd w:id="78"/>
      <w:bookmarkStart w:id="90" w:name="_Toc14840"/>
      <w:bookmarkStart w:id="91" w:name="_Toc485108794"/>
      <w:bookmarkStart w:id="92" w:name="_Toc403569796"/>
      <w:bookmarkStart w:id="93" w:name="_Toc303945820"/>
      <w:bookmarkStart w:id="94" w:name="_Toc148265480"/>
      <w:r>
        <w:rPr>
          <w:rFonts w:hint="eastAsia" w:ascii="微软雅黑" w:hAnsi="微软雅黑" w:eastAsia="微软雅黑" w:cs="微软雅黑"/>
          <w:b/>
          <w:color w:val="auto"/>
          <w:sz w:val="36"/>
          <w:szCs w:val="36"/>
        </w:rPr>
        <w:t>第五篇  合同草案条款</w:t>
      </w:r>
      <w:bookmarkEnd w:id="90"/>
      <w:bookmarkEnd w:id="91"/>
      <w:bookmarkEnd w:id="92"/>
    </w:p>
    <w:p>
      <w:pPr>
        <w:pStyle w:val="3"/>
        <w:spacing w:line="240" w:lineRule="auto"/>
        <w:rPr>
          <w:rFonts w:hint="eastAsia" w:ascii="微软雅黑" w:hAnsi="微软雅黑" w:eastAsia="微软雅黑" w:cs="微软雅黑"/>
          <w:color w:val="auto"/>
          <w:sz w:val="24"/>
          <w:szCs w:val="24"/>
        </w:rPr>
      </w:pPr>
      <w:bookmarkStart w:id="95" w:name="_Toc30815"/>
      <w:bookmarkStart w:id="96" w:name="_Toc54718202"/>
      <w:r>
        <w:rPr>
          <w:rFonts w:hint="eastAsia" w:ascii="微软雅黑" w:hAnsi="微软雅黑" w:eastAsia="微软雅黑" w:cs="微软雅黑"/>
          <w:color w:val="auto"/>
          <w:sz w:val="24"/>
          <w:szCs w:val="24"/>
        </w:rPr>
        <w:t>一、定义</w:t>
      </w:r>
      <w:bookmarkEnd w:id="95"/>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988"/>
      <w:r>
        <w:rPr>
          <w:rFonts w:hint="eastAsia" w:ascii="方正仿宋_GBK" w:hAnsi="宋体" w:eastAsia="方正仿宋_GBK" w:cs="Times New Roman"/>
          <w:color w:val="auto"/>
          <w:sz w:val="24"/>
          <w:szCs w:val="24"/>
        </w:rPr>
        <w:t>（一）甲方（需方）即重庆医科大学附属永川医院。</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9"/>
    </w:p>
    <w:p>
      <w:pPr>
        <w:snapToGrid w:val="0"/>
        <w:spacing w:line="400" w:lineRule="exact"/>
        <w:ind w:firstLine="480" w:firstLineChars="200"/>
        <w:jc w:val="left"/>
        <w:rPr>
          <w:rFonts w:ascii="方正仿宋_GBK" w:hAnsi="宋体" w:eastAsia="方正仿宋_GBK" w:cs="Times New Roman"/>
          <w:color w:val="auto"/>
          <w:sz w:val="24"/>
          <w:szCs w:val="24"/>
        </w:rPr>
      </w:pPr>
      <w:bookmarkStart w:id="100"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101"/>
    </w:p>
    <w:p>
      <w:pPr>
        <w:pStyle w:val="3"/>
        <w:spacing w:line="240" w:lineRule="auto"/>
        <w:rPr>
          <w:rFonts w:hint="eastAsia" w:ascii="微软雅黑" w:hAnsi="微软雅黑" w:eastAsia="微软雅黑" w:cs="微软雅黑"/>
          <w:color w:val="auto"/>
          <w:sz w:val="24"/>
          <w:szCs w:val="24"/>
        </w:rPr>
      </w:pPr>
      <w:bookmarkStart w:id="102" w:name="_Toc17879"/>
      <w:bookmarkStart w:id="103"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102"/>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8967"/>
      <w:r>
        <w:rPr>
          <w:rFonts w:hint="eastAsia" w:ascii="方正仿宋_GBK" w:hAnsi="宋体" w:eastAsia="方正仿宋_GBK" w:cs="Times New Roman"/>
          <w:color w:val="auto"/>
          <w:sz w:val="24"/>
          <w:szCs w:val="24"/>
        </w:rPr>
        <w:t>合同包括以下内容：</w:t>
      </w:r>
      <w:bookmarkEnd w:id="104"/>
      <w:r>
        <w:rPr>
          <w:rFonts w:hint="eastAsia" w:ascii="微软雅黑" w:hAnsi="微软雅黑" w:eastAsia="微软雅黑" w:cs="微软雅黑"/>
          <w:b w:val="0"/>
          <w:color w:val="auto"/>
          <w:kern w:val="2"/>
          <w:sz w:val="24"/>
          <w:szCs w:val="24"/>
          <w:lang w:val="en-US" w:eastAsia="zh-CN" w:bidi="ar-SA"/>
        </w:rPr>
        <w:t>服务内容、服务要求、</w:t>
      </w:r>
      <w:r>
        <w:rPr>
          <w:rFonts w:hint="eastAsia" w:ascii="方正仿宋_GBK" w:hAnsi="宋体" w:eastAsia="方正仿宋_GBK"/>
          <w:color w:val="auto"/>
          <w:sz w:val="24"/>
          <w:szCs w:val="24"/>
        </w:rPr>
        <w:t>货物名称、型号规格、</w:t>
      </w:r>
      <w:r>
        <w:rPr>
          <w:rFonts w:hint="eastAsia" w:ascii="方正仿宋_GBK" w:hAnsi="宋体" w:eastAsia="方正仿宋_GBK"/>
          <w:color w:val="auto"/>
          <w:sz w:val="24"/>
          <w:szCs w:val="24"/>
          <w:lang w:val="en-US" w:eastAsia="zh-CN"/>
        </w:rPr>
        <w:t>品牌、</w:t>
      </w:r>
      <w:r>
        <w:rPr>
          <w:rFonts w:hint="eastAsia" w:ascii="方正仿宋_GBK" w:hAnsi="宋体" w:eastAsia="方正仿宋_GBK"/>
          <w:color w:val="auto"/>
          <w:sz w:val="24"/>
          <w:szCs w:val="24"/>
        </w:rPr>
        <w:t>技术参数、数量（单位）等内容。</w:t>
      </w:r>
    </w:p>
    <w:p>
      <w:pPr>
        <w:pStyle w:val="3"/>
        <w:spacing w:line="240" w:lineRule="auto"/>
        <w:rPr>
          <w:rFonts w:hint="eastAsia" w:ascii="微软雅黑" w:hAnsi="微软雅黑" w:eastAsia="微软雅黑" w:cs="微软雅黑"/>
          <w:color w:val="auto"/>
          <w:sz w:val="24"/>
          <w:szCs w:val="24"/>
        </w:rPr>
      </w:pPr>
      <w:bookmarkStart w:id="105" w:name="_Toc54718204"/>
      <w:bookmarkStart w:id="106" w:name="_Toc8853"/>
      <w:r>
        <w:rPr>
          <w:rFonts w:hint="eastAsia" w:ascii="微软雅黑" w:hAnsi="微软雅黑" w:eastAsia="微软雅黑" w:cs="微软雅黑"/>
          <w:color w:val="auto"/>
          <w:sz w:val="24"/>
          <w:szCs w:val="24"/>
        </w:rPr>
        <w:t>三、合同价格</w:t>
      </w:r>
      <w:bookmarkEnd w:id="105"/>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25177"/>
      <w:bookmarkStart w:id="108"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w:t>
      </w:r>
      <w:r>
        <w:rPr>
          <w:rFonts w:hint="eastAsia" w:ascii="方正仿宋_GBK" w:hAnsi="宋体" w:eastAsia="方正仿宋_GBK" w:cs="Times New Roman"/>
          <w:color w:val="auto"/>
          <w:sz w:val="24"/>
          <w:szCs w:val="24"/>
          <w:lang w:val="en-US" w:eastAsia="zh-CN"/>
        </w:rPr>
        <w:t>总价</w:t>
      </w:r>
      <w:r>
        <w:rPr>
          <w:rFonts w:hint="eastAsia" w:ascii="方正仿宋_GBK" w:hAnsi="宋体" w:eastAsia="方正仿宋_GBK" w:cs="Times New Roman"/>
          <w:color w:val="auto"/>
          <w:sz w:val="24"/>
          <w:szCs w:val="24"/>
        </w:rPr>
        <w:t>。</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3890"/>
      <w:r>
        <w:rPr>
          <w:rFonts w:hint="eastAsia" w:ascii="方正仿宋_GBK" w:hAnsi="宋体" w:eastAsia="方正仿宋_GBK" w:cs="Times New Roman"/>
          <w:color w:val="auto"/>
          <w:sz w:val="24"/>
          <w:szCs w:val="24"/>
        </w:rPr>
        <w:t>（二）合同价格包含但不限于货款、安装费、调试费、人工费、税金、管理费等所有费用，所有税费由乙方负担。</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19296"/>
      <w:r>
        <w:rPr>
          <w:rFonts w:hint="eastAsia" w:ascii="方正仿宋_GBK" w:hAnsi="宋体" w:eastAsia="方正仿宋_GBK" w:cs="Times New Roman"/>
          <w:color w:val="auto"/>
          <w:sz w:val="24"/>
          <w:szCs w:val="24"/>
        </w:rPr>
        <w:t>（三）合同</w:t>
      </w:r>
      <w:r>
        <w:rPr>
          <w:rFonts w:hint="eastAsia" w:ascii="方正仿宋_GBK" w:hAnsi="宋体" w:eastAsia="方正仿宋_GBK" w:cs="Times New Roman"/>
          <w:color w:val="auto"/>
          <w:sz w:val="24"/>
          <w:szCs w:val="24"/>
          <w:lang w:val="en-US" w:eastAsia="zh-CN"/>
        </w:rPr>
        <w:t>货物</w:t>
      </w:r>
      <w:r>
        <w:rPr>
          <w:rFonts w:hint="eastAsia" w:ascii="方正仿宋_GBK" w:hAnsi="宋体" w:eastAsia="方正仿宋_GBK" w:cs="Times New Roman"/>
          <w:color w:val="auto"/>
          <w:sz w:val="24"/>
          <w:szCs w:val="24"/>
        </w:rPr>
        <w:t>单价为不变价。</w:t>
      </w:r>
      <w:bookmarkEnd w:id="110"/>
    </w:p>
    <w:p>
      <w:pPr>
        <w:pStyle w:val="3"/>
        <w:spacing w:line="240" w:lineRule="auto"/>
        <w:rPr>
          <w:rFonts w:hint="eastAsia" w:ascii="微软雅黑" w:hAnsi="微软雅黑" w:eastAsia="微软雅黑" w:cs="微软雅黑"/>
          <w:color w:val="auto"/>
          <w:sz w:val="24"/>
          <w:szCs w:val="24"/>
        </w:rPr>
      </w:pPr>
      <w:bookmarkStart w:id="111" w:name="_Toc24410"/>
      <w:r>
        <w:rPr>
          <w:rFonts w:hint="eastAsia" w:ascii="微软雅黑" w:hAnsi="微软雅黑" w:eastAsia="微软雅黑" w:cs="微软雅黑"/>
          <w:color w:val="auto"/>
          <w:sz w:val="24"/>
          <w:szCs w:val="24"/>
        </w:rPr>
        <w:t>四、转包或分包</w:t>
      </w:r>
      <w:bookmarkEnd w:id="108"/>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14"/>
    </w:p>
    <w:p>
      <w:pPr>
        <w:pStyle w:val="3"/>
        <w:spacing w:line="240" w:lineRule="auto"/>
        <w:rPr>
          <w:rFonts w:hint="eastAsia" w:ascii="微软雅黑" w:hAnsi="微软雅黑" w:eastAsia="微软雅黑" w:cs="微软雅黑"/>
          <w:color w:val="auto"/>
          <w:sz w:val="24"/>
          <w:szCs w:val="24"/>
        </w:rPr>
      </w:pPr>
      <w:bookmarkStart w:id="115" w:name="_Toc54718206"/>
      <w:bookmarkStart w:id="116" w:name="_Toc2241"/>
      <w:r>
        <w:rPr>
          <w:rFonts w:hint="eastAsia" w:ascii="微软雅黑" w:hAnsi="微软雅黑" w:eastAsia="微软雅黑" w:cs="微软雅黑"/>
          <w:color w:val="auto"/>
          <w:sz w:val="24"/>
          <w:szCs w:val="24"/>
        </w:rPr>
        <w:t>五、质量保证及售后服务</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17" w:name="_Toc12985"/>
      <w:bookmarkStart w:id="118"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17"/>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8"/>
    </w:p>
    <w:p>
      <w:pPr>
        <w:pStyle w:val="3"/>
        <w:spacing w:line="240" w:lineRule="auto"/>
        <w:rPr>
          <w:rFonts w:hint="eastAsia" w:ascii="微软雅黑" w:hAnsi="微软雅黑" w:eastAsia="微软雅黑" w:cs="微软雅黑"/>
          <w:color w:val="auto"/>
          <w:sz w:val="24"/>
          <w:szCs w:val="24"/>
        </w:rPr>
      </w:pPr>
      <w:bookmarkStart w:id="119" w:name="_Toc9053"/>
      <w:bookmarkStart w:id="120" w:name="_Toc54718207"/>
      <w:r>
        <w:rPr>
          <w:rFonts w:hint="eastAsia" w:ascii="微软雅黑" w:hAnsi="微软雅黑" w:eastAsia="微软雅黑" w:cs="微软雅黑"/>
          <w:color w:val="auto"/>
          <w:sz w:val="24"/>
          <w:szCs w:val="24"/>
        </w:rPr>
        <w:t>六、付款</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23183"/>
      <w:r>
        <w:rPr>
          <w:rFonts w:hint="eastAsia" w:ascii="方正仿宋_GBK" w:hAnsi="宋体" w:eastAsia="方正仿宋_GBK" w:cs="Times New Roman"/>
          <w:color w:val="auto"/>
          <w:sz w:val="24"/>
          <w:szCs w:val="24"/>
        </w:rPr>
        <w:t>（一）本合同使用货币币制如未作特别说明均为人民币。</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8880"/>
      <w:r>
        <w:rPr>
          <w:rFonts w:hint="eastAsia" w:ascii="方正仿宋_GBK" w:hAnsi="宋体" w:eastAsia="方正仿宋_GBK" w:cs="Times New Roman"/>
          <w:color w:val="auto"/>
          <w:sz w:val="24"/>
          <w:szCs w:val="24"/>
        </w:rPr>
        <w:t>（二）付款方式：银行转账。</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23"/>
    </w:p>
    <w:p>
      <w:pPr>
        <w:pStyle w:val="3"/>
        <w:spacing w:line="240" w:lineRule="auto"/>
        <w:rPr>
          <w:rFonts w:hint="eastAsia" w:ascii="微软雅黑" w:hAnsi="微软雅黑" w:eastAsia="微软雅黑" w:cs="微软雅黑"/>
          <w:color w:val="auto"/>
          <w:sz w:val="24"/>
          <w:szCs w:val="24"/>
        </w:rPr>
      </w:pPr>
      <w:bookmarkStart w:id="124" w:name="_Toc54718211"/>
      <w:bookmarkStart w:id="125"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24"/>
      <w:bookmarkEnd w:id="125"/>
    </w:p>
    <w:p>
      <w:pPr>
        <w:snapToGrid w:val="0"/>
        <w:spacing w:line="400" w:lineRule="exact"/>
        <w:ind w:firstLine="480" w:firstLineChars="200"/>
        <w:jc w:val="left"/>
        <w:rPr>
          <w:rFonts w:ascii="方正仿宋_GBK" w:hAnsi="宋体" w:eastAsia="方正仿宋_GBK" w:cs="Times New Roman"/>
          <w:color w:val="auto"/>
          <w:sz w:val="24"/>
          <w:szCs w:val="24"/>
        </w:rPr>
      </w:pPr>
      <w:bookmarkStart w:id="126" w:name="_Toc5382"/>
      <w:r>
        <w:rPr>
          <w:rFonts w:hint="eastAsia" w:ascii="方正仿宋_GBK" w:hAnsi="宋体" w:eastAsia="方正仿宋_GBK" w:cs="Times New Roman"/>
          <w:color w:val="auto"/>
          <w:sz w:val="24"/>
          <w:szCs w:val="24"/>
        </w:rPr>
        <w:t>（一）当事人友好协商达成一致</w:t>
      </w:r>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29926"/>
      <w:r>
        <w:rPr>
          <w:rFonts w:hint="eastAsia" w:ascii="方正仿宋_GBK" w:hAnsi="宋体" w:eastAsia="方正仿宋_GBK" w:cs="Times New Roman"/>
          <w:color w:val="auto"/>
          <w:sz w:val="24"/>
          <w:szCs w:val="24"/>
        </w:rPr>
        <w:t>（二）</w:t>
      </w:r>
      <w:bookmarkEnd w:id="127"/>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rPr>
          <w:rFonts w:hint="eastAsia" w:ascii="方正仿宋_GBK" w:hAnsi="宋体" w:eastAsia="方正仿宋_GBK"/>
          <w:b/>
          <w:bCs/>
          <w:color w:val="auto"/>
          <w:sz w:val="24"/>
          <w:szCs w:val="24"/>
        </w:rPr>
      </w:pPr>
      <w:bookmarkStart w:id="128" w:name="_Toc26580"/>
      <w:bookmarkStart w:id="129" w:name="_Toc54718212"/>
      <w:r>
        <w:rPr>
          <w:rFonts w:hint="eastAsia" w:ascii="方正仿宋_GBK" w:hAnsi="宋体" w:eastAsia="方正仿宋_GBK"/>
          <w:b/>
          <w:bCs/>
          <w:color w:val="auto"/>
          <w:sz w:val="24"/>
          <w:szCs w:val="24"/>
        </w:rPr>
        <w:t>八、索赔</w:t>
      </w:r>
    </w:p>
    <w:p>
      <w:pPr>
        <w:snapToGrid w:val="0"/>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供方对货物与合同要求不符负有责任，并且需方已于规定交货内和质量保证期内提出索赔，供方应按需方同意的下述一种或多种方法解决索赔事宜。</w:t>
      </w:r>
    </w:p>
    <w:p>
      <w:pPr>
        <w:snapToGrid w:val="0"/>
        <w:spacing w:line="400" w:lineRule="exact"/>
        <w:ind w:firstLine="480" w:firstLineChars="200"/>
        <w:rPr>
          <w:rFonts w:hint="eastAsia" w:ascii="方正仿宋_GBK" w:hAnsi="宋体" w:eastAsia="方正仿宋_GBK"/>
          <w:color w:val="auto"/>
          <w:sz w:val="24"/>
          <w:szCs w:val="24"/>
        </w:rPr>
      </w:pPr>
      <w:bookmarkStart w:id="130" w:name="_Toc2616"/>
      <w:r>
        <w:rPr>
          <w:rFonts w:hint="eastAsia" w:ascii="方正仿宋_GBK" w:hAnsi="宋体" w:eastAsia="方正仿宋_GBK"/>
          <w:color w:val="auto"/>
          <w:sz w:val="24"/>
          <w:szCs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30"/>
    </w:p>
    <w:p>
      <w:pPr>
        <w:snapToGrid w:val="0"/>
        <w:spacing w:line="400" w:lineRule="exact"/>
        <w:ind w:firstLine="480" w:firstLineChars="200"/>
        <w:outlineLvl w:val="1"/>
        <w:rPr>
          <w:rFonts w:hint="eastAsia" w:ascii="方正仿宋_GBK" w:hAnsi="宋体" w:eastAsia="方正仿宋_GBK"/>
          <w:b/>
          <w:bCs/>
          <w:color w:val="auto"/>
          <w:sz w:val="24"/>
          <w:szCs w:val="24"/>
        </w:rPr>
      </w:pPr>
      <w:bookmarkStart w:id="131" w:name="_Toc32371"/>
      <w:r>
        <w:rPr>
          <w:rFonts w:hint="eastAsia" w:ascii="方正仿宋_GBK" w:hAnsi="宋体" w:eastAsia="方正仿宋_GBK"/>
          <w:color w:val="auto"/>
          <w:sz w:val="24"/>
          <w:szCs w:val="24"/>
        </w:rPr>
        <w:t>（二）根据货物的疵劣和受损程度以及需方遭受损失的金额，经双方同意降低货物价格。</w:t>
      </w:r>
      <w:bookmarkEnd w:id="131"/>
    </w:p>
    <w:p>
      <w:pPr>
        <w:snapToGrid w:val="0"/>
        <w:spacing w:line="400" w:lineRule="exact"/>
        <w:outlineLvl w:val="1"/>
        <w:rPr>
          <w:rFonts w:hint="eastAsia" w:ascii="方正仿宋_GBK" w:hAnsi="宋体" w:eastAsia="方正仿宋_GBK"/>
          <w:b/>
          <w:bCs/>
          <w:color w:val="auto"/>
          <w:sz w:val="24"/>
          <w:szCs w:val="24"/>
        </w:rPr>
      </w:pPr>
      <w:bookmarkStart w:id="132" w:name="_Toc54718210"/>
      <w:bookmarkStart w:id="133" w:name="_Toc31719"/>
      <w:r>
        <w:rPr>
          <w:rFonts w:hint="eastAsia" w:ascii="方正仿宋_GBK" w:hAnsi="宋体" w:eastAsia="方正仿宋_GBK"/>
          <w:b/>
          <w:bCs/>
          <w:color w:val="auto"/>
          <w:sz w:val="24"/>
          <w:szCs w:val="24"/>
        </w:rPr>
        <w:t>九、知识产权</w:t>
      </w:r>
      <w:bookmarkEnd w:id="132"/>
      <w:bookmarkEnd w:id="133"/>
    </w:p>
    <w:p>
      <w:pPr>
        <w:snapToGrid w:val="0"/>
        <w:spacing w:line="400" w:lineRule="exact"/>
        <w:ind w:firstLine="480" w:firstLineChars="200"/>
        <w:rPr>
          <w:rFonts w:hint="eastAsia" w:ascii="方正仿宋_GBK" w:hAnsi="宋体" w:eastAsia="方正仿宋_GBK"/>
          <w:color w:val="auto"/>
          <w:sz w:val="24"/>
          <w:szCs w:val="24"/>
        </w:rPr>
      </w:pPr>
      <w:bookmarkStart w:id="134"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34"/>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35" w:name="_Toc17287"/>
      <w:r>
        <w:rPr>
          <w:rFonts w:hint="eastAsia" w:ascii="方正仿宋_GBK" w:hAnsi="宋体" w:eastAsia="方正仿宋_GBK"/>
          <w:color w:val="auto"/>
          <w:sz w:val="24"/>
          <w:szCs w:val="24"/>
        </w:rPr>
        <w:t>（二）若涉及软件开发等服务类项目知识产权的，知识产权归医院所有。</w:t>
      </w:r>
      <w:bookmarkEnd w:id="135"/>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、违约责任</w:t>
      </w:r>
      <w:bookmarkEnd w:id="128"/>
      <w:bookmarkEnd w:id="12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36"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37" w:name="_Toc16142"/>
      <w:r>
        <w:rPr>
          <w:rFonts w:hint="eastAsia" w:ascii="微软雅黑" w:hAnsi="微软雅黑" w:eastAsia="微软雅黑" w:cs="微软雅黑"/>
          <w:color w:val="auto"/>
          <w:sz w:val="24"/>
          <w:szCs w:val="24"/>
          <w:lang w:eastAsia="zh-CN"/>
        </w:rPr>
        <w:t>十一</w:t>
      </w:r>
      <w:r>
        <w:rPr>
          <w:rFonts w:hint="eastAsia" w:ascii="微软雅黑" w:hAnsi="微软雅黑" w:eastAsia="微软雅黑" w:cs="微软雅黑"/>
          <w:color w:val="auto"/>
          <w:sz w:val="24"/>
          <w:szCs w:val="24"/>
        </w:rPr>
        <w:t>、合同生效及其它</w:t>
      </w:r>
      <w:bookmarkEnd w:id="136"/>
      <w:bookmarkEnd w:id="137"/>
    </w:p>
    <w:p>
      <w:pPr>
        <w:snapToGrid w:val="0"/>
        <w:spacing w:line="400" w:lineRule="exact"/>
        <w:ind w:firstLine="480" w:firstLineChars="200"/>
        <w:jc w:val="left"/>
        <w:rPr>
          <w:rFonts w:ascii="方正仿宋_GBK" w:hAnsi="宋体" w:eastAsia="方正仿宋_GBK" w:cs="Times New Roman"/>
          <w:color w:val="auto"/>
          <w:sz w:val="24"/>
          <w:szCs w:val="24"/>
        </w:rPr>
      </w:pPr>
      <w:bookmarkStart w:id="138" w:name="_Toc7071"/>
      <w:r>
        <w:rPr>
          <w:rFonts w:hint="eastAsia" w:ascii="方正仿宋_GBK" w:hAnsi="宋体" w:eastAsia="方正仿宋_GBK" w:cs="Times New Roman"/>
          <w:color w:val="auto"/>
          <w:sz w:val="24"/>
          <w:szCs w:val="24"/>
        </w:rPr>
        <w:t>（一）合同生效及其效力应符合《中华人民共和国民法典》有关规定。</w:t>
      </w:r>
      <w:bookmarkEnd w:id="138"/>
    </w:p>
    <w:p>
      <w:pPr>
        <w:snapToGrid w:val="0"/>
        <w:spacing w:line="400" w:lineRule="exact"/>
        <w:ind w:firstLine="480" w:firstLineChars="200"/>
        <w:jc w:val="left"/>
        <w:rPr>
          <w:rFonts w:ascii="方正仿宋_GBK" w:hAnsi="宋体" w:eastAsia="方正仿宋_GBK" w:cs="Times New Roman"/>
          <w:color w:val="auto"/>
          <w:sz w:val="24"/>
          <w:szCs w:val="24"/>
        </w:rPr>
      </w:pPr>
      <w:bookmarkStart w:id="139"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39"/>
    </w:p>
    <w:p>
      <w:pPr>
        <w:snapToGrid w:val="0"/>
        <w:spacing w:line="400" w:lineRule="exact"/>
        <w:ind w:firstLine="480" w:firstLineChars="200"/>
        <w:jc w:val="left"/>
        <w:rPr>
          <w:rFonts w:ascii="方正仿宋_GBK" w:hAnsi="宋体" w:eastAsia="方正仿宋_GBK" w:cs="Times New Roman"/>
          <w:color w:val="auto"/>
          <w:sz w:val="24"/>
          <w:szCs w:val="24"/>
        </w:rPr>
      </w:pPr>
      <w:bookmarkStart w:id="140"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40"/>
    </w:p>
    <w:p>
      <w:pPr>
        <w:snapToGrid w:val="0"/>
        <w:spacing w:line="400" w:lineRule="exact"/>
        <w:ind w:firstLine="480" w:firstLineChars="200"/>
        <w:jc w:val="left"/>
        <w:rPr>
          <w:rFonts w:ascii="方正仿宋_GBK" w:hAnsi="宋体" w:eastAsia="方正仿宋_GBK" w:cs="Times New Roman"/>
          <w:color w:val="auto"/>
          <w:sz w:val="24"/>
          <w:szCs w:val="24"/>
        </w:rPr>
      </w:pPr>
      <w:bookmarkStart w:id="141" w:name="_Toc28233"/>
      <w:r>
        <w:rPr>
          <w:rFonts w:hint="eastAsia" w:ascii="方正仿宋_GBK" w:hAnsi="宋体" w:eastAsia="方正仿宋_GBK" w:cs="Times New Roman"/>
          <w:color w:val="auto"/>
          <w:sz w:val="24"/>
          <w:szCs w:val="24"/>
        </w:rPr>
        <w:t>（四）合同需提供担保的，按《中华人民共和国担保法》规定执行。</w:t>
      </w:r>
      <w:bookmarkEnd w:id="141"/>
    </w:p>
    <w:p>
      <w:pPr>
        <w:snapToGrid w:val="0"/>
        <w:spacing w:line="400" w:lineRule="exact"/>
        <w:ind w:firstLine="480" w:firstLineChars="200"/>
        <w:jc w:val="left"/>
        <w:rPr>
          <w:rFonts w:ascii="方正仿宋_GBK" w:hAnsi="宋体" w:eastAsia="方正仿宋_GBK" w:cs="Times New Roman"/>
          <w:color w:val="auto"/>
          <w:sz w:val="24"/>
          <w:szCs w:val="24"/>
        </w:rPr>
      </w:pPr>
      <w:bookmarkStart w:id="142"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42"/>
    </w:p>
    <w:bookmarkEnd w:id="93"/>
    <w:bookmarkEnd w:id="94"/>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43" w:name="_Hlt41879464"/>
      <w:bookmarkEnd w:id="143"/>
      <w:bookmarkStart w:id="144" w:name="_Toc12789072"/>
      <w:bookmarkStart w:id="145" w:name="_Toc485108795"/>
      <w:bookmarkStart w:id="146" w:name="_Toc13696"/>
      <w:r>
        <w:rPr>
          <w:rFonts w:hint="eastAsia" w:ascii="微软雅黑" w:hAnsi="微软雅黑" w:eastAsia="微软雅黑" w:cs="微软雅黑"/>
          <w:b/>
          <w:color w:val="auto"/>
          <w:sz w:val="36"/>
          <w:szCs w:val="36"/>
        </w:rPr>
        <w:t>第六篇  响应文件格式要求</w:t>
      </w:r>
      <w:bookmarkEnd w:id="144"/>
      <w:bookmarkEnd w:id="145"/>
      <w:bookmarkEnd w:id="146"/>
    </w:p>
    <w:p>
      <w:pPr>
        <w:pStyle w:val="3"/>
        <w:spacing w:line="240" w:lineRule="auto"/>
        <w:rPr>
          <w:rFonts w:hint="eastAsia" w:ascii="微软雅黑" w:hAnsi="微软雅黑" w:eastAsia="微软雅黑" w:cs="微软雅黑"/>
          <w:color w:val="auto"/>
          <w:sz w:val="24"/>
          <w:szCs w:val="24"/>
        </w:rPr>
      </w:pPr>
      <w:bookmarkStart w:id="147" w:name="_Toc27382"/>
      <w:r>
        <w:rPr>
          <w:rFonts w:hint="eastAsia" w:ascii="微软雅黑" w:hAnsi="微软雅黑" w:eastAsia="微软雅黑" w:cs="微软雅黑"/>
          <w:color w:val="auto"/>
          <w:sz w:val="24"/>
          <w:szCs w:val="24"/>
        </w:rPr>
        <w:t>一、经济部分</w:t>
      </w:r>
      <w:bookmarkEnd w:id="14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48" w:name="_Toc6305"/>
      <w:r>
        <w:rPr>
          <w:rFonts w:hint="eastAsia" w:ascii="微软雅黑" w:hAnsi="微软雅黑" w:eastAsia="微软雅黑" w:cs="微软雅黑"/>
          <w:color w:val="auto"/>
          <w:sz w:val="24"/>
          <w:szCs w:val="24"/>
        </w:rPr>
        <w:t>二、服务部分</w:t>
      </w:r>
      <w:bookmarkEnd w:id="148"/>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49" w:name="_Toc7207"/>
      <w:r>
        <w:rPr>
          <w:rFonts w:hint="eastAsia" w:ascii="微软雅黑" w:hAnsi="微软雅黑" w:eastAsia="微软雅黑" w:cs="微软雅黑"/>
          <w:color w:val="auto"/>
          <w:sz w:val="24"/>
          <w:szCs w:val="24"/>
        </w:rPr>
        <w:t>三、商务部分</w:t>
      </w:r>
      <w:bookmarkEnd w:id="149"/>
    </w:p>
    <w:p>
      <w:pPr>
        <w:snapToGrid w:val="0"/>
        <w:spacing w:line="360" w:lineRule="auto"/>
        <w:ind w:firstLine="480" w:firstLineChars="200"/>
        <w:rPr>
          <w:rFonts w:hint="eastAsia" w:ascii="微软雅黑" w:hAnsi="微软雅黑" w:eastAsia="微软雅黑" w:cs="微软雅黑"/>
          <w:color w:val="auto"/>
          <w:sz w:val="24"/>
          <w:szCs w:val="24"/>
        </w:rPr>
      </w:pPr>
      <w:bookmarkStart w:id="150" w:name="_Toc38358147"/>
      <w:bookmarkStart w:id="151" w:name="OLE_LINK11"/>
      <w:bookmarkStart w:id="152" w:name="OLE_LINK10"/>
      <w:r>
        <w:rPr>
          <w:rFonts w:hint="eastAsia" w:ascii="微软雅黑" w:hAnsi="微软雅黑" w:eastAsia="微软雅黑" w:cs="微软雅黑"/>
          <w:color w:val="auto"/>
          <w:sz w:val="24"/>
          <w:szCs w:val="24"/>
        </w:rPr>
        <w:t>（一）按照“第四篇  项目商务需求”提供相应资料</w:t>
      </w:r>
      <w:bookmarkEnd w:id="150"/>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53" w:name="_Toc18417"/>
      <w:r>
        <w:rPr>
          <w:rFonts w:hint="eastAsia" w:ascii="微软雅黑" w:hAnsi="微软雅黑" w:eastAsia="微软雅黑" w:cs="微软雅黑"/>
          <w:color w:val="auto"/>
          <w:sz w:val="24"/>
          <w:szCs w:val="24"/>
        </w:rPr>
        <w:t>四、资格条件及其他</w:t>
      </w:r>
      <w:bookmarkEnd w:id="153"/>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54" w:name="_Toc19884"/>
      <w:r>
        <w:rPr>
          <w:rFonts w:hint="eastAsia" w:ascii="微软雅黑" w:hAnsi="微软雅黑" w:eastAsia="微软雅黑" w:cs="微软雅黑"/>
          <w:color w:val="auto"/>
          <w:sz w:val="24"/>
          <w:szCs w:val="24"/>
        </w:rPr>
        <w:t>五、其他应提供的资料</w:t>
      </w:r>
      <w:bookmarkEnd w:id="154"/>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51"/>
    <w:bookmarkEnd w:id="152"/>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auto"/>
        </w:rPr>
      </w:pPr>
      <w:bookmarkStart w:id="155" w:name="_Toc480979018"/>
      <w:bookmarkStart w:id="156" w:name="_Toc342913419"/>
      <w:bookmarkStart w:id="157" w:name="_Toc485108796"/>
      <w:bookmarkStart w:id="158" w:name="_Toc313888360"/>
      <w:bookmarkStart w:id="159" w:name="_Toc313008356"/>
      <w:bookmarkStart w:id="160" w:name="_Toc283382454"/>
      <w:bookmarkStart w:id="161" w:name="_Toc12789073"/>
      <w:r>
        <w:rPr>
          <w:rFonts w:hint="eastAsia"/>
          <w:b/>
          <w:color w:val="auto"/>
        </w:rPr>
        <w:t>经济部分</w:t>
      </w:r>
      <w:bookmarkEnd w:id="155"/>
      <w:bookmarkEnd w:id="156"/>
      <w:bookmarkEnd w:id="157"/>
      <w:bookmarkEnd w:id="158"/>
      <w:bookmarkEnd w:id="159"/>
    </w:p>
    <w:p>
      <w:pPr>
        <w:pStyle w:val="180"/>
        <w:ind w:left="450" w:firstLine="0" w:firstLineChars="0"/>
        <w:rPr>
          <w:b/>
          <w:color w:val="auto"/>
        </w:rPr>
      </w:pPr>
    </w:p>
    <w:bookmarkEnd w:id="160"/>
    <w:bookmarkEnd w:id="161"/>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r>
        <w:rPr>
          <w:rFonts w:hint="eastAsia" w:ascii="方正仿宋_GBK" w:hAnsi="宋体" w:eastAsia="方正仿宋_GBK" w:cs="Times New Roman"/>
          <w:color w:val="auto"/>
          <w:sz w:val="24"/>
          <w:szCs w:val="24"/>
        </w:rPr>
        <w:t>（格式自定）</w:t>
      </w:r>
    </w:p>
    <w:p>
      <w:pPr>
        <w:spacing w:line="360" w:lineRule="auto"/>
        <w:rPr>
          <w:rFonts w:hint="eastAsia" w:ascii="方正仿宋_GBK" w:hAnsi="宋体" w:eastAsia="方正仿宋_GBK" w:cs="Times New Roman"/>
          <w:color w:val="auto"/>
          <w:sz w:val="24"/>
          <w:szCs w:val="24"/>
          <w:u w:val="single"/>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1号楼配电室3台低压开关改造服务</w:t>
      </w:r>
    </w:p>
    <w:tbl>
      <w:tblPr>
        <w:tblStyle w:val="58"/>
        <w:tblW w:w="9625" w:type="dxa"/>
        <w:jc w:val="center"/>
        <w:tblLayout w:type="fixed"/>
        <w:tblCellMar>
          <w:top w:w="0" w:type="dxa"/>
          <w:left w:w="108" w:type="dxa"/>
          <w:bottom w:w="0" w:type="dxa"/>
          <w:right w:w="108" w:type="dxa"/>
        </w:tblCellMar>
      </w:tblPr>
      <w:tblGrid>
        <w:gridCol w:w="627"/>
        <w:gridCol w:w="1269"/>
        <w:gridCol w:w="2043"/>
        <w:gridCol w:w="719"/>
        <w:gridCol w:w="825"/>
        <w:gridCol w:w="900"/>
        <w:gridCol w:w="780"/>
        <w:gridCol w:w="1199"/>
        <w:gridCol w:w="1263"/>
      </w:tblGrid>
      <w:tr>
        <w:tblPrEx>
          <w:tblCellMar>
            <w:top w:w="0" w:type="dxa"/>
            <w:left w:w="108" w:type="dxa"/>
            <w:bottom w:w="0" w:type="dxa"/>
            <w:right w:w="108" w:type="dxa"/>
          </w:tblCellMar>
        </w:tblPrEx>
        <w:trPr>
          <w:trHeight w:val="567" w:hRule="atLeast"/>
          <w:jc w:val="center"/>
        </w:trPr>
        <w:tc>
          <w:tcPr>
            <w:tcW w:w="6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序号</w:t>
            </w:r>
          </w:p>
        </w:tc>
        <w:tc>
          <w:tcPr>
            <w:tcW w:w="126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材料名称</w:t>
            </w:r>
          </w:p>
        </w:tc>
        <w:tc>
          <w:tcPr>
            <w:tcW w:w="204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规格及型号</w:t>
            </w:r>
          </w:p>
        </w:tc>
        <w:tc>
          <w:tcPr>
            <w:tcW w:w="71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单位</w:t>
            </w:r>
            <w:r>
              <w:rPr>
                <w:kern w:val="0"/>
                <w:sz w:val="24"/>
              </w:rPr>
              <w:t xml:space="preserve"> </w:t>
            </w:r>
          </w:p>
        </w:tc>
        <w:tc>
          <w:tcPr>
            <w:tcW w:w="82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eastAsiaTheme="minorEastAsia"/>
                <w:kern w:val="0"/>
                <w:sz w:val="24"/>
                <w:lang w:eastAsia="zh-CN"/>
              </w:rPr>
            </w:pPr>
            <w:r>
              <w:rPr>
                <w:rFonts w:hint="eastAsia" w:ascii="宋体" w:hAnsi="宋体" w:cs="宋体"/>
                <w:kern w:val="0"/>
                <w:sz w:val="24"/>
                <w:lang w:eastAsia="zh-CN"/>
              </w:rPr>
              <w:t>品牌</w:t>
            </w:r>
          </w:p>
        </w:tc>
        <w:tc>
          <w:tcPr>
            <w:tcW w:w="9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数量</w:t>
            </w:r>
          </w:p>
        </w:tc>
        <w:tc>
          <w:tcPr>
            <w:tcW w:w="7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单价(元）</w:t>
            </w:r>
          </w:p>
        </w:tc>
        <w:tc>
          <w:tcPr>
            <w:tcW w:w="119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总价（元）</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备  注</w:t>
            </w:r>
          </w:p>
        </w:tc>
      </w:tr>
      <w:tr>
        <w:tblPrEx>
          <w:tblCellMar>
            <w:top w:w="0" w:type="dxa"/>
            <w:left w:w="108" w:type="dxa"/>
            <w:bottom w:w="0" w:type="dxa"/>
            <w:right w:w="108" w:type="dxa"/>
          </w:tblCellMar>
        </w:tblPrEx>
        <w:trPr>
          <w:trHeight w:val="567" w:hRule="atLeast"/>
          <w:jc w:val="center"/>
        </w:trPr>
        <w:tc>
          <w:tcPr>
            <w:tcW w:w="62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2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铜排</w:t>
            </w:r>
          </w:p>
        </w:tc>
        <w:tc>
          <w:tcPr>
            <w:tcW w:w="20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TMY-60*10</w:t>
            </w:r>
          </w:p>
        </w:tc>
        <w:tc>
          <w:tcPr>
            <w:tcW w:w="7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KG</w:t>
            </w:r>
          </w:p>
        </w:tc>
        <w:tc>
          <w:tcPr>
            <w:tcW w:w="8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97</w:t>
            </w:r>
          </w:p>
        </w:tc>
        <w:tc>
          <w:tcPr>
            <w:tcW w:w="7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19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263" w:type="dxa"/>
            <w:tcBorders>
              <w:top w:val="nil"/>
              <w:left w:val="nil"/>
              <w:bottom w:val="single" w:color="auto" w:sz="4" w:space="0"/>
              <w:right w:val="single" w:color="auto" w:sz="4" w:space="0"/>
            </w:tcBorders>
            <w:shd w:val="clear" w:color="auto" w:fill="auto"/>
            <w:noWrap/>
            <w:vAlign w:val="center"/>
          </w:tcPr>
          <w:p>
            <w:pPr>
              <w:widowControl/>
              <w:ind w:firstLine="100" w:firstLineChars="50"/>
              <w:rPr>
                <w:rFonts w:ascii="宋体" w:hAnsi="宋体" w:cs="宋体"/>
                <w:kern w:val="0"/>
                <w:sz w:val="20"/>
                <w:szCs w:val="20"/>
              </w:rPr>
            </w:pPr>
          </w:p>
        </w:tc>
      </w:tr>
      <w:tr>
        <w:tblPrEx>
          <w:tblCellMar>
            <w:top w:w="0" w:type="dxa"/>
            <w:left w:w="108" w:type="dxa"/>
            <w:bottom w:w="0" w:type="dxa"/>
            <w:right w:w="108" w:type="dxa"/>
          </w:tblCellMar>
        </w:tblPrEx>
        <w:trPr>
          <w:trHeight w:val="567" w:hRule="atLeast"/>
          <w:jc w:val="center"/>
        </w:trPr>
        <w:tc>
          <w:tcPr>
            <w:tcW w:w="62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2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空气开关</w:t>
            </w:r>
          </w:p>
        </w:tc>
        <w:tc>
          <w:tcPr>
            <w:tcW w:w="20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MA41-2000M/1000A抽出式</w:t>
            </w:r>
          </w:p>
        </w:tc>
        <w:tc>
          <w:tcPr>
            <w:tcW w:w="7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台</w:t>
            </w:r>
          </w:p>
        </w:tc>
        <w:tc>
          <w:tcPr>
            <w:tcW w:w="8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7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19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2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567" w:hRule="atLeast"/>
          <w:jc w:val="center"/>
        </w:trPr>
        <w:tc>
          <w:tcPr>
            <w:tcW w:w="62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2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铜芯线</w:t>
            </w:r>
          </w:p>
        </w:tc>
        <w:tc>
          <w:tcPr>
            <w:tcW w:w="20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ZRBVR-1.5</w:t>
            </w:r>
          </w:p>
        </w:tc>
        <w:tc>
          <w:tcPr>
            <w:tcW w:w="7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米</w:t>
            </w:r>
          </w:p>
        </w:tc>
        <w:tc>
          <w:tcPr>
            <w:tcW w:w="8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120</w:t>
            </w:r>
          </w:p>
        </w:tc>
        <w:tc>
          <w:tcPr>
            <w:tcW w:w="7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19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263" w:type="dxa"/>
            <w:tcBorders>
              <w:top w:val="nil"/>
              <w:left w:val="nil"/>
              <w:bottom w:val="single" w:color="auto" w:sz="4" w:space="0"/>
              <w:right w:val="single" w:color="auto" w:sz="4" w:space="0"/>
            </w:tcBorders>
            <w:shd w:val="clear" w:color="auto" w:fill="auto"/>
            <w:noWrap/>
            <w:vAlign w:val="center"/>
          </w:tcPr>
          <w:p>
            <w:pPr>
              <w:widowControl/>
              <w:ind w:firstLine="100" w:firstLineChars="50"/>
              <w:rPr>
                <w:rFonts w:ascii="宋体" w:hAnsi="宋体" w:cs="宋体"/>
                <w:kern w:val="0"/>
                <w:sz w:val="20"/>
                <w:szCs w:val="20"/>
              </w:rPr>
            </w:pPr>
          </w:p>
        </w:tc>
      </w:tr>
      <w:tr>
        <w:tblPrEx>
          <w:tblCellMar>
            <w:top w:w="0" w:type="dxa"/>
            <w:left w:w="108" w:type="dxa"/>
            <w:bottom w:w="0" w:type="dxa"/>
            <w:right w:w="108" w:type="dxa"/>
          </w:tblCellMar>
        </w:tblPrEx>
        <w:trPr>
          <w:trHeight w:val="567" w:hRule="atLeast"/>
          <w:jc w:val="center"/>
        </w:trPr>
        <w:tc>
          <w:tcPr>
            <w:tcW w:w="62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20</w:t>
            </w:r>
          </w:p>
        </w:tc>
        <w:tc>
          <w:tcPr>
            <w:tcW w:w="126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辅材</w:t>
            </w:r>
          </w:p>
        </w:tc>
        <w:tc>
          <w:tcPr>
            <w:tcW w:w="204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柜体改造，螺栓、叉头、端子等</w:t>
            </w:r>
          </w:p>
        </w:tc>
        <w:tc>
          <w:tcPr>
            <w:tcW w:w="7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8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7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19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2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67" w:hRule="atLeast"/>
          <w:jc w:val="center"/>
        </w:trPr>
        <w:tc>
          <w:tcPr>
            <w:tcW w:w="62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21</w:t>
            </w:r>
          </w:p>
        </w:tc>
        <w:tc>
          <w:tcPr>
            <w:tcW w:w="331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0"/>
                <w:szCs w:val="20"/>
              </w:rPr>
            </w:pPr>
            <w:r>
              <w:rPr>
                <w:rFonts w:hint="eastAsia" w:ascii="宋体" w:hAnsi="宋体" w:cs="宋体"/>
                <w:kern w:val="0"/>
                <w:sz w:val="20"/>
                <w:szCs w:val="20"/>
              </w:rPr>
              <w:t>综合费用 （ 人工、管理、税收等）</w:t>
            </w:r>
          </w:p>
        </w:tc>
        <w:tc>
          <w:tcPr>
            <w:tcW w:w="71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825"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w:t>
            </w:r>
          </w:p>
        </w:tc>
        <w:tc>
          <w:tcPr>
            <w:tcW w:w="78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c>
          <w:tcPr>
            <w:tcW w:w="119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rPr>
            </w:pPr>
          </w:p>
        </w:tc>
        <w:tc>
          <w:tcPr>
            <w:tcW w:w="126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67" w:hRule="atLeast"/>
          <w:jc w:val="center"/>
        </w:trPr>
        <w:tc>
          <w:tcPr>
            <w:tcW w:w="18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bCs/>
                <w:kern w:val="0"/>
                <w:sz w:val="20"/>
                <w:szCs w:val="20"/>
              </w:rPr>
            </w:pPr>
            <w:r>
              <w:rPr>
                <w:rFonts w:hint="eastAsia" w:ascii="宋体" w:hAnsi="宋体"/>
                <w:bCs/>
                <w:kern w:val="0"/>
                <w:sz w:val="20"/>
                <w:szCs w:val="20"/>
              </w:rPr>
              <w:t>总  价（元）</w:t>
            </w:r>
          </w:p>
        </w:tc>
        <w:tc>
          <w:tcPr>
            <w:tcW w:w="6466"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　</w:t>
            </w: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r>
      <w:tr>
        <w:tblPrEx>
          <w:tblCellMar>
            <w:top w:w="0" w:type="dxa"/>
            <w:left w:w="108" w:type="dxa"/>
            <w:bottom w:w="0" w:type="dxa"/>
            <w:right w:w="108" w:type="dxa"/>
          </w:tblCellMar>
        </w:tblPrEx>
        <w:trPr>
          <w:trHeight w:val="567" w:hRule="atLeast"/>
          <w:jc w:val="center"/>
        </w:trPr>
        <w:tc>
          <w:tcPr>
            <w:tcW w:w="189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bCs/>
                <w:kern w:val="0"/>
                <w:sz w:val="20"/>
                <w:szCs w:val="20"/>
              </w:rPr>
            </w:pPr>
            <w:r>
              <w:rPr>
                <w:rFonts w:hint="eastAsia" w:ascii="宋体" w:hAnsi="宋体"/>
                <w:bCs/>
                <w:kern w:val="0"/>
                <w:sz w:val="20"/>
                <w:szCs w:val="20"/>
              </w:rPr>
              <w:t>工  期（天）</w:t>
            </w:r>
          </w:p>
        </w:tc>
        <w:tc>
          <w:tcPr>
            <w:tcW w:w="6466"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rPr>
            </w:pPr>
          </w:p>
        </w:tc>
        <w:tc>
          <w:tcPr>
            <w:tcW w:w="126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rPr>
            </w:pPr>
          </w:p>
        </w:tc>
      </w:tr>
    </w:tbl>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lang w:val="en-US" w:eastAsia="zh-CN"/>
        </w:rPr>
      </w:pPr>
      <w:r>
        <w:rPr>
          <w:rFonts w:hint="eastAsia" w:ascii="方正仿宋_GBK" w:hAnsi="宋体" w:eastAsia="方正仿宋_GBK" w:cs="Times New Roman"/>
          <w:color w:val="auto"/>
          <w:sz w:val="24"/>
          <w:szCs w:val="28"/>
        </w:rPr>
        <w:t>注：</w:t>
      </w:r>
      <w:r>
        <w:rPr>
          <w:rFonts w:hint="eastAsia" w:ascii="方正仿宋_GBK" w:hAnsi="宋体" w:eastAsia="方正仿宋_GBK" w:cs="Times New Roman"/>
          <w:color w:val="auto"/>
          <w:sz w:val="24"/>
          <w:szCs w:val="28"/>
          <w:lang w:val="en-US" w:eastAsia="zh-CN"/>
        </w:rPr>
        <w:t>1、上述报价表内容为改造项目主要设施，服务方需经现场确认后制作详细报价表，报价包含但不限于拆旧费、柜体改造费、货款、安装费、调试费、人工费、税金、管理费等所有费用。</w:t>
      </w:r>
    </w:p>
    <w:p>
      <w:pPr>
        <w:numPr>
          <w:ilvl w:val="0"/>
          <w:numId w:val="0"/>
        </w:numPr>
        <w:snapToGrid w:val="0"/>
        <w:spacing w:line="500" w:lineRule="exact"/>
        <w:ind w:firstLine="480" w:firstLineChars="200"/>
        <w:rPr>
          <w:rFonts w:hint="eastAsia"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2、</w:t>
      </w:r>
      <w:r>
        <w:rPr>
          <w:rFonts w:hint="eastAsia" w:ascii="方正仿宋_GBK" w:hAnsi="宋体" w:eastAsia="方正仿宋_GBK" w:cs="Times New Roman"/>
          <w:color w:val="auto"/>
          <w:sz w:val="24"/>
          <w:szCs w:val="28"/>
        </w:rPr>
        <w:t>请供应商</w:t>
      </w:r>
      <w:r>
        <w:rPr>
          <w:rFonts w:hint="eastAsia" w:ascii="方正仿宋_GBK" w:hAnsi="宋体" w:eastAsia="方正仿宋_GBK" w:cs="Times New Roman"/>
          <w:b/>
          <w:bCs/>
          <w:color w:val="auto"/>
          <w:sz w:val="24"/>
          <w:szCs w:val="28"/>
        </w:rPr>
        <w:t>完整填写</w:t>
      </w:r>
      <w:r>
        <w:rPr>
          <w:rFonts w:hint="eastAsia" w:ascii="方正仿宋_GBK" w:hAnsi="宋体" w:eastAsia="方正仿宋_GBK" w:cs="Times New Roman"/>
          <w:color w:val="auto"/>
          <w:sz w:val="24"/>
          <w:szCs w:val="28"/>
        </w:rPr>
        <w:t>本表。</w:t>
      </w:r>
    </w:p>
    <w:p>
      <w:pPr>
        <w:numPr>
          <w:ilvl w:val="0"/>
          <w:numId w:val="0"/>
        </w:numPr>
        <w:snapToGrid w:val="0"/>
        <w:spacing w:line="50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lang w:val="en-US" w:eastAsia="zh-CN"/>
        </w:rPr>
        <w:t>3、</w:t>
      </w:r>
      <w:r>
        <w:rPr>
          <w:rFonts w:hint="eastAsia" w:ascii="方正仿宋_GBK" w:hAnsi="宋体" w:eastAsia="方正仿宋_GBK" w:cs="Times New Roman"/>
          <w:color w:val="auto"/>
          <w:sz w:val="24"/>
          <w:szCs w:val="28"/>
        </w:rPr>
        <w:t>该表可扩展</w:t>
      </w:r>
      <w:bookmarkStart w:id="162" w:name="OLE_LINK2"/>
      <w:bookmarkStart w:id="163" w:name="OLE_LINK1"/>
      <w:r>
        <w:rPr>
          <w:rFonts w:hint="eastAsia" w:ascii="方正仿宋_GBK" w:hAnsi="宋体" w:eastAsia="方正仿宋_GBK" w:cs="Times New Roman"/>
          <w:color w:val="auto"/>
          <w:sz w:val="24"/>
          <w:szCs w:val="28"/>
        </w:rPr>
        <w:t>，并逐页签字或盖章。</w:t>
      </w:r>
      <w:bookmarkEnd w:id="162"/>
      <w:bookmarkEnd w:id="163"/>
    </w:p>
    <w:p>
      <w:pPr>
        <w:spacing w:line="360" w:lineRule="auto"/>
        <w:jc w:val="center"/>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64" w:name="_Toc480979019"/>
      <w:bookmarkStart w:id="165" w:name="_Toc342913420"/>
      <w:bookmarkStart w:id="166" w:name="_Toc313888361"/>
      <w:bookmarkStart w:id="167" w:name="_Toc485108797"/>
      <w:bookmarkStart w:id="168" w:name="_Toc313008357"/>
      <w:r>
        <w:rPr>
          <w:rFonts w:hint="eastAsia"/>
          <w:b/>
          <w:color w:val="auto"/>
        </w:rPr>
        <w:t>二、服务部分</w:t>
      </w:r>
      <w:bookmarkEnd w:id="164"/>
      <w:bookmarkEnd w:id="165"/>
      <w:bookmarkEnd w:id="166"/>
      <w:bookmarkEnd w:id="167"/>
      <w:bookmarkEnd w:id="168"/>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69" w:name="_Toc342913421"/>
      <w:bookmarkStart w:id="170" w:name="_Toc480979020"/>
      <w:bookmarkStart w:id="171" w:name="_Toc313008358"/>
      <w:bookmarkStart w:id="172" w:name="_Toc313888362"/>
      <w:bookmarkStart w:id="173" w:name="_Toc485108798"/>
      <w:r>
        <w:rPr>
          <w:rFonts w:hint="eastAsia"/>
          <w:b/>
          <w:color w:val="auto"/>
        </w:rPr>
        <w:t>三、商务部分</w:t>
      </w:r>
      <w:bookmarkEnd w:id="169"/>
      <w:bookmarkEnd w:id="170"/>
      <w:bookmarkEnd w:id="171"/>
      <w:bookmarkEnd w:id="172"/>
      <w:bookmarkEnd w:id="173"/>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74"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74"/>
      <w:bookmarkStart w:id="175" w:name="_Toc342913422"/>
      <w:bookmarkStart w:id="176" w:name="_Toc313888363"/>
      <w:bookmarkStart w:id="177" w:name="_Toc313008359"/>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75"/>
      <w:bookmarkEnd w:id="176"/>
      <w:bookmarkEnd w:id="177"/>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78" w:name="OLE_LINK4"/>
      <w:bookmarkStart w:id="179"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78"/>
    <w:bookmarkEnd w:id="179"/>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4DA26C6"/>
    <w:rsid w:val="074B1659"/>
    <w:rsid w:val="07F26429"/>
    <w:rsid w:val="0A890365"/>
    <w:rsid w:val="0ACF458A"/>
    <w:rsid w:val="0E0E625A"/>
    <w:rsid w:val="0E4D3D6E"/>
    <w:rsid w:val="0E5721EA"/>
    <w:rsid w:val="0E5A796A"/>
    <w:rsid w:val="0FAB0EE6"/>
    <w:rsid w:val="104D689B"/>
    <w:rsid w:val="109D57E0"/>
    <w:rsid w:val="134E0964"/>
    <w:rsid w:val="138E1A4E"/>
    <w:rsid w:val="14C6168E"/>
    <w:rsid w:val="16467BBB"/>
    <w:rsid w:val="18130842"/>
    <w:rsid w:val="1CED540D"/>
    <w:rsid w:val="1D632E00"/>
    <w:rsid w:val="1DD87EDC"/>
    <w:rsid w:val="1F6D6E4A"/>
    <w:rsid w:val="1FCE723D"/>
    <w:rsid w:val="204C6181"/>
    <w:rsid w:val="20FB0BC7"/>
    <w:rsid w:val="21C45BE8"/>
    <w:rsid w:val="232E53DE"/>
    <w:rsid w:val="23743B1F"/>
    <w:rsid w:val="25B7688A"/>
    <w:rsid w:val="25B91E1A"/>
    <w:rsid w:val="26380176"/>
    <w:rsid w:val="275D539C"/>
    <w:rsid w:val="28CD4235"/>
    <w:rsid w:val="2B3E4EAD"/>
    <w:rsid w:val="2BBD2276"/>
    <w:rsid w:val="2E3A5DFF"/>
    <w:rsid w:val="2F2348BD"/>
    <w:rsid w:val="2F6F1AD9"/>
    <w:rsid w:val="2FD06C0B"/>
    <w:rsid w:val="30A44277"/>
    <w:rsid w:val="32050A97"/>
    <w:rsid w:val="3361798A"/>
    <w:rsid w:val="35E87A5C"/>
    <w:rsid w:val="369E4A52"/>
    <w:rsid w:val="38442273"/>
    <w:rsid w:val="38C010B0"/>
    <w:rsid w:val="391C67AE"/>
    <w:rsid w:val="39A3534F"/>
    <w:rsid w:val="3B30241A"/>
    <w:rsid w:val="3C4F6F1A"/>
    <w:rsid w:val="3DD60FEB"/>
    <w:rsid w:val="41007A8F"/>
    <w:rsid w:val="42030507"/>
    <w:rsid w:val="461B60BF"/>
    <w:rsid w:val="475461C4"/>
    <w:rsid w:val="492C6FBB"/>
    <w:rsid w:val="499D1F70"/>
    <w:rsid w:val="4A1025A8"/>
    <w:rsid w:val="4AD41B9B"/>
    <w:rsid w:val="4BE8259F"/>
    <w:rsid w:val="4C4E289A"/>
    <w:rsid w:val="4F2E0C11"/>
    <w:rsid w:val="514069D9"/>
    <w:rsid w:val="51D77CAA"/>
    <w:rsid w:val="52ED493F"/>
    <w:rsid w:val="55297C80"/>
    <w:rsid w:val="56FF2E93"/>
    <w:rsid w:val="58B574EB"/>
    <w:rsid w:val="59E56370"/>
    <w:rsid w:val="5B3E21DC"/>
    <w:rsid w:val="5BC414F3"/>
    <w:rsid w:val="5CAE15E3"/>
    <w:rsid w:val="5F3F2DAC"/>
    <w:rsid w:val="5FB15C3A"/>
    <w:rsid w:val="6022194E"/>
    <w:rsid w:val="611A50B4"/>
    <w:rsid w:val="619C43F3"/>
    <w:rsid w:val="6269072D"/>
    <w:rsid w:val="62A30CCB"/>
    <w:rsid w:val="637D3ABD"/>
    <w:rsid w:val="6972525B"/>
    <w:rsid w:val="6B217424"/>
    <w:rsid w:val="6B28360F"/>
    <w:rsid w:val="6B9F4D55"/>
    <w:rsid w:val="6DC70D5C"/>
    <w:rsid w:val="6E45126B"/>
    <w:rsid w:val="70E64A50"/>
    <w:rsid w:val="71231A63"/>
    <w:rsid w:val="73B34AD5"/>
    <w:rsid w:val="783A1618"/>
    <w:rsid w:val="7908485F"/>
    <w:rsid w:val="793F0B2C"/>
    <w:rsid w:val="797D07AB"/>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17420</Words>
  <Characters>18098</Characters>
  <Lines>182</Lines>
  <Paragraphs>51</Paragraphs>
  <TotalTime>4</TotalTime>
  <ScaleCrop>false</ScaleCrop>
  <LinksUpToDate>false</LinksUpToDate>
  <CharactersWithSpaces>19387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2023-01-07T02:13:54Z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D90EFDEDCD294DEAB041A069E42458C9</vt:lpwstr>
  </property>
</Properties>
</file>