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bookmarkStart w:id="183" w:name="_GoBack"/>
      <w:bookmarkEnd w:id="183"/>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2023FW042</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重症CT机职业病预控评服务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一</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2789052"/>
      <w:bookmarkStart w:id="2" w:name="_Toc485108766"/>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重症CT机职业病预控评服务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重症CT机职业病预控评服务</w:t>
            </w:r>
          </w:p>
        </w:tc>
        <w:tc>
          <w:tcPr>
            <w:tcW w:w="2661"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ind w:firstLine="480" w:firstLineChars="200"/>
        <w:rPr>
          <w:rFonts w:hint="eastAsia" w:ascii="方正仿宋_GBK" w:hAnsi="宋体" w:eastAsia="方正仿宋_GBK" w:cs="Times New Roman"/>
          <w:color w:val="auto"/>
          <w:sz w:val="24"/>
          <w:szCs w:val="24"/>
          <w:lang w:val="en-US" w:eastAsia="zh-CN"/>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auto"/>
          <w:sz w:val="24"/>
          <w:szCs w:val="24"/>
        </w:rPr>
        <w:t>有效的三证合一营业执照</w:t>
      </w:r>
      <w:r>
        <w:rPr>
          <w:rFonts w:hint="eastAsia" w:ascii="方正仿宋_GBK" w:hAnsi="宋体" w:eastAsia="方正仿宋_GBK" w:cs="Times New Roman"/>
          <w:color w:val="auto"/>
          <w:sz w:val="24"/>
          <w:szCs w:val="24"/>
          <w:lang w:eastAsia="zh-CN"/>
        </w:rPr>
        <w:t>。</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b/>
          <w:bCs/>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jc w:val="left"/>
        <w:rPr>
          <w:rFonts w:ascii="方正仿宋_GBK" w:hAnsi="宋体" w:eastAsia="方正仿宋_GBK" w:cs="Times New Roman"/>
          <w:color w:val="auto"/>
          <w:sz w:val="24"/>
          <w:szCs w:val="24"/>
        </w:rPr>
      </w:pP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18</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w:t>
      </w:r>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18</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b/>
          <w:bCs/>
          <w:color w:val="auto"/>
          <w:sz w:val="24"/>
          <w:szCs w:val="24"/>
          <w:lang w:eastAsia="zh-CN"/>
        </w:rPr>
        <w:t>详见后续官网公告。</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373860294"/>
      <w:bookmarkStart w:id="24" w:name="_Toc54171062"/>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2183"/>
      <w:bookmarkStart w:id="29" w:name="_Toc96605950"/>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二</w:t>
      </w:r>
      <w:r>
        <w:rPr>
          <w:rFonts w:hint="eastAsia" w:ascii="方正仿宋_GBK" w:hAnsi="宋体" w:eastAsia="方正仿宋_GBK" w:cs="Times New Roman"/>
          <w:color w:val="auto"/>
          <w:sz w:val="24"/>
          <w:szCs w:val="24"/>
        </w:rPr>
        <w:t>）请各进入医院人员和单位务必提前详细了解我区疫情防控具体要求，若不符合防控要求，将不能入场参与交易活动，请自行评估后果，合理安排人员参与相关活动。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913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3"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1386"/>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8430"/>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23254"/>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项投标报价为包干价（报价表见附件），包含服务费、专家评审费、差旅费、住宿费、保险费、税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8"/>
      <w:bookmarkStart w:id="38" w:name="OLE_LINK9"/>
      <w:bookmarkStart w:id="39"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本项目比选采用视频会议，</w:t>
      </w:r>
      <w:r>
        <w:rPr>
          <w:rFonts w:hint="eastAsia" w:ascii="方正仿宋_GBK" w:hAnsi="宋体" w:eastAsia="方正仿宋_GBK" w:cs="Times New Roman"/>
          <w:color w:val="auto"/>
          <w:sz w:val="24"/>
          <w:szCs w:val="24"/>
        </w:rPr>
        <w:t>各个供应商可</w:t>
      </w:r>
      <w:r>
        <w:rPr>
          <w:rFonts w:hint="eastAsia" w:ascii="方正仿宋_GBK" w:hAnsi="宋体" w:eastAsia="方正仿宋_GBK" w:cs="Times New Roman"/>
          <w:color w:val="auto"/>
          <w:sz w:val="24"/>
          <w:szCs w:val="24"/>
          <w:lang w:eastAsia="zh-CN"/>
        </w:rPr>
        <w:t>指定</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名代表</w:t>
      </w:r>
      <w:r>
        <w:rPr>
          <w:rFonts w:hint="eastAsia" w:ascii="方正仿宋_GBK" w:hAnsi="宋体" w:eastAsia="方正仿宋_GBK" w:cs="Times New Roman"/>
          <w:color w:val="auto"/>
          <w:sz w:val="24"/>
          <w:szCs w:val="24"/>
          <w:lang w:eastAsia="zh-CN"/>
        </w:rPr>
        <w:t>通过视频会议参与</w:t>
      </w:r>
      <w:r>
        <w:rPr>
          <w:rFonts w:hint="eastAsia" w:ascii="方正仿宋_GBK" w:hAnsi="宋体" w:eastAsia="方正仿宋_GBK" w:cs="Times New Roman"/>
          <w:color w:val="auto"/>
          <w:sz w:val="24"/>
          <w:szCs w:val="24"/>
        </w:rPr>
        <w:t>参与比选</w:t>
      </w:r>
      <w:r>
        <w:rPr>
          <w:rFonts w:hint="eastAsia" w:ascii="仿宋" w:hAnsi="仿宋" w:eastAsia="仿宋" w:cs="仿宋"/>
          <w:b/>
          <w:bCs/>
          <w:color w:val="auto"/>
          <w:sz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7"/>
    <w:bookmarkEnd w:id="38"/>
    <w:bookmarkEnd w:id="39"/>
    <w:p>
      <w:pPr>
        <w:snapToGrid w:val="0"/>
        <w:spacing w:line="400" w:lineRule="exact"/>
        <w:ind w:firstLine="480" w:firstLineChars="200"/>
        <w:rPr>
          <w:rFonts w:hint="eastAsia" w:ascii="方正仿宋_GBK" w:hAnsi="宋体" w:eastAsia="方正仿宋_GBK" w:cs="Times New Roman"/>
          <w:color w:val="auto"/>
          <w:sz w:val="24"/>
          <w:szCs w:val="24"/>
        </w:rPr>
      </w:pPr>
      <w:bookmarkStart w:id="40" w:name="_Toc179714298"/>
      <w:bookmarkStart w:id="41" w:name="_Toc102227319"/>
      <w:bookmarkStart w:id="42" w:name="_Toc403569780"/>
      <w:bookmarkStart w:id="43" w:name="_Toc18122"/>
      <w:bookmarkStart w:id="44" w:name="_Toc19143"/>
      <w:bookmarkStart w:id="45"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14247"/>
      <w:bookmarkStart w:id="47" w:name="_Toc28776"/>
      <w:bookmarkStart w:id="48" w:name="_Toc403569781"/>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14816"/>
      <w:bookmarkStart w:id="52" w:name="_Toc29340"/>
      <w:bookmarkStart w:id="53" w:name="_Toc403569782"/>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4" w:name="_Toc3212"/>
      <w:bookmarkStart w:id="55" w:name="_Toc342913395"/>
      <w:bookmarkStart w:id="56" w:name="_Toc403569783"/>
      <w:bookmarkStart w:id="57" w:name="_Toc7135"/>
      <w:bookmarkStart w:id="58" w:name="_Toc102227321"/>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17413"/>
      <w:bookmarkStart w:id="60" w:name="_Toc403569784"/>
      <w:bookmarkStart w:id="61" w:name="_Toc12880"/>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403569785"/>
      <w:bookmarkStart w:id="64" w:name="_Toc6381"/>
      <w:bookmarkStart w:id="65"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572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29479"/>
      <w:bookmarkStart w:id="68" w:name="_Toc15659"/>
      <w:bookmarkStart w:id="69" w:name="_Toc7675"/>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0" w:name="_Toc485108784"/>
      <w:bookmarkStart w:id="71"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2" w:name="_Toc485108785"/>
      <w:bookmarkStart w:id="73" w:name="_Toc766"/>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8647" w:type="dxa"/>
        <w:tblInd w:w="534" w:type="dxa"/>
        <w:tblLayout w:type="fixed"/>
        <w:tblCellMar>
          <w:top w:w="0" w:type="dxa"/>
          <w:left w:w="108" w:type="dxa"/>
          <w:bottom w:w="0" w:type="dxa"/>
          <w:right w:w="108" w:type="dxa"/>
        </w:tblCellMar>
      </w:tblPr>
      <w:tblGrid>
        <w:gridCol w:w="3534"/>
        <w:gridCol w:w="3264"/>
        <w:gridCol w:w="1849"/>
      </w:tblGrid>
      <w:tr>
        <w:tc>
          <w:tcPr>
            <w:tcW w:w="3534"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264"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仿宋" w:eastAsia="方正仿宋_GBK" w:cs="仿宋"/>
                <w:color w:val="auto"/>
                <w:sz w:val="24"/>
                <w:szCs w:val="24"/>
              </w:rPr>
              <w:t>成交供应商数量</w:t>
            </w:r>
            <w:r>
              <w:rPr>
                <w:rFonts w:hint="eastAsia" w:ascii="方正仿宋_GBK" w:hAnsi="仿宋" w:eastAsia="方正仿宋_GBK" w:cs="仿宋"/>
                <w:color w:val="auto"/>
                <w:sz w:val="24"/>
                <w:szCs w:val="24"/>
                <w:lang w:eastAsia="zh-CN"/>
              </w:rPr>
              <w:t>（名）</w:t>
            </w:r>
          </w:p>
        </w:tc>
        <w:tc>
          <w:tcPr>
            <w:tcW w:w="1849"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53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
                <w:color w:val="auto"/>
                <w:sz w:val="24"/>
                <w:szCs w:val="24"/>
              </w:rPr>
            </w:pPr>
            <w:r>
              <w:rPr>
                <w:rFonts w:hint="eastAsia" w:ascii="方正仿宋_GBK" w:hAnsi="宋体" w:eastAsia="方正仿宋_GBK"/>
                <w:color w:val="auto"/>
                <w:szCs w:val="21"/>
                <w:lang w:val="en-US" w:eastAsia="zh-CN"/>
              </w:rPr>
              <w:t>重症CT机职业病预控评服务</w:t>
            </w:r>
          </w:p>
        </w:tc>
        <w:tc>
          <w:tcPr>
            <w:tcW w:w="3264"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1849"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ind w:firstLine="480" w:firstLineChars="200"/>
        <w:rPr>
          <w:rFonts w:ascii="方正仿宋_GBK" w:hAnsi="仿宋" w:eastAsia="方正仿宋_GBK" w:cs="仿宋"/>
          <w:color w:val="auto"/>
          <w:sz w:val="24"/>
          <w:szCs w:val="24"/>
        </w:rPr>
      </w:pPr>
    </w:p>
    <w:p>
      <w:pPr>
        <w:pStyle w:val="3"/>
        <w:spacing w:line="240" w:lineRule="auto"/>
        <w:rPr>
          <w:rFonts w:hint="eastAsia" w:ascii="微软雅黑" w:hAnsi="微软雅黑" w:eastAsia="微软雅黑" w:cs="微软雅黑"/>
          <w:color w:val="auto"/>
          <w:sz w:val="24"/>
          <w:szCs w:val="24"/>
        </w:rPr>
      </w:pPr>
      <w:bookmarkStart w:id="75" w:name="_Toc485108786"/>
      <w:bookmarkStart w:id="76" w:name="_Toc18590"/>
      <w:r>
        <w:rPr>
          <w:rFonts w:hint="eastAsia" w:ascii="微软雅黑" w:hAnsi="微软雅黑" w:eastAsia="微软雅黑" w:cs="微软雅黑"/>
          <w:color w:val="auto"/>
          <w:sz w:val="24"/>
          <w:szCs w:val="24"/>
        </w:rPr>
        <w:t>二、服务要求</w:t>
      </w:r>
      <w:bookmarkEnd w:id="75"/>
      <w:bookmarkEnd w:id="76"/>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服务方及其工作人员须具备相应的从业资质和能力，服务方开展的各项工作须符合国家相关规范、标准。</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（二）</w:t>
      </w:r>
      <w:r>
        <w:rPr>
          <w:rFonts w:hint="eastAsia" w:ascii="方正仿宋_GBK" w:hAnsi="宋体" w:eastAsia="方正仿宋_GBK" w:cs="Times New Roman"/>
          <w:color w:val="auto"/>
          <w:sz w:val="24"/>
          <w:szCs w:val="24"/>
        </w:rPr>
        <w:t>服务方应在收到采购方提供的完整且符合出具报告的技术资料后十五个工作日内分别编制完成（预）控制效果评价报告。并在相关部门进行备案登记。</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 xml:space="preserve">服务方所做职业病危害放射防护评价报告需保证规范、科学、客观、完整、真实。 </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7" w:name="_Toc28327"/>
      <w:bookmarkStart w:id="78"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74"/>
      <w:bookmarkEnd w:id="77"/>
      <w:bookmarkEnd w:id="78"/>
      <w:bookmarkStart w:id="79" w:name="_Toc11641055"/>
      <w:bookmarkStart w:id="80" w:name="_Toc12789059"/>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302"/>
      <w:bookmarkStart w:id="83"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eastAsia="zh-CN"/>
        </w:rPr>
        <w:t>时间、</w:t>
      </w:r>
      <w:r>
        <w:rPr>
          <w:rFonts w:hint="eastAsia" w:ascii="微软雅黑" w:hAnsi="微软雅黑" w:eastAsia="微软雅黑" w:cs="微软雅黑"/>
          <w:color w:val="auto"/>
          <w:sz w:val="24"/>
          <w:szCs w:val="24"/>
        </w:rPr>
        <w:t>地点及验收方式</w:t>
      </w:r>
      <w:bookmarkEnd w:id="81"/>
      <w:bookmarkEnd w:id="82"/>
    </w:p>
    <w:p>
      <w:pPr>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服务时间</w:t>
      </w:r>
      <w:r>
        <w:rPr>
          <w:rFonts w:hint="eastAsia" w:ascii="方正仿宋_GBK" w:hAnsi="宋体" w:eastAsia="方正仿宋_GBK" w:cs="Times New Roman"/>
          <w:b w:val="0"/>
          <w:color w:val="auto"/>
          <w:kern w:val="2"/>
          <w:sz w:val="24"/>
          <w:szCs w:val="24"/>
          <w:lang w:val="en-US" w:eastAsia="zh-CN" w:bidi="ar-SA"/>
        </w:rPr>
        <w:t>：服务方应在收到采购方提供的完整且符合出具报告的技术资料后15个工作日内分别编制完成（预）控制效果评价报告。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（二）</w:t>
      </w:r>
      <w:r>
        <w:rPr>
          <w:rFonts w:hint="eastAsia" w:ascii="方正仿宋_GBK" w:hAnsi="宋体" w:eastAsia="方正仿宋_GBK" w:cs="Times New Roman"/>
          <w:color w:val="auto"/>
          <w:sz w:val="24"/>
          <w:szCs w:val="24"/>
        </w:rPr>
        <w:t>服务地点：重庆医科大学附属永川医院（</w:t>
      </w:r>
      <w:r>
        <w:rPr>
          <w:rFonts w:hint="eastAsia" w:ascii="方正仿宋_GBK" w:hAnsi="宋体" w:eastAsia="方正仿宋_GBK"/>
          <w:color w:val="auto"/>
          <w:sz w:val="24"/>
          <w:szCs w:val="24"/>
        </w:rPr>
        <w:t>重庆市永川区萱花路439号</w:t>
      </w:r>
      <w:r>
        <w:rPr>
          <w:rFonts w:hint="eastAsia" w:ascii="方正仿宋_GBK" w:hAnsi="宋体" w:eastAsia="方正仿宋_GBK" w:cs="Times New Roman"/>
          <w:color w:val="auto"/>
          <w:sz w:val="24"/>
          <w:szCs w:val="24"/>
        </w:rPr>
        <w:t xml:space="preserve">） </w:t>
      </w:r>
    </w:p>
    <w:bookmarkEnd w:id="83"/>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84" w:name="_Toc485108789"/>
      <w:bookmarkStart w:id="85" w:name="_Toc279"/>
      <w:bookmarkStart w:id="86" w:name="_Toc485108790"/>
      <w:bookmarkStart w:id="87" w:name="_Toc344475122"/>
      <w:r>
        <w:rPr>
          <w:rFonts w:hint="eastAsia" w:ascii="方正仿宋_GBK" w:hAnsi="宋体" w:eastAsia="方正仿宋_GBK" w:cs="Times New Roman"/>
          <w:b w:val="0"/>
          <w:color w:val="auto"/>
          <w:kern w:val="2"/>
          <w:sz w:val="24"/>
          <w:szCs w:val="24"/>
          <w:lang w:val="en-US" w:eastAsia="zh-CN" w:bidi="ar-SA"/>
        </w:rPr>
        <w:t>（三）验收方式：服务方按时完成相关工作后，评价报告书得到卫生主管部门的认可，评价报告纸质版交由采购方存档。</w:t>
      </w:r>
    </w:p>
    <w:bookmarkEnd w:id="84"/>
    <w:bookmarkEnd w:id="85"/>
    <w:p>
      <w:pPr>
        <w:pStyle w:val="3"/>
        <w:spacing w:line="240" w:lineRule="auto"/>
        <w:rPr>
          <w:rFonts w:hint="eastAsia" w:ascii="微软雅黑" w:hAnsi="微软雅黑" w:eastAsia="微软雅黑" w:cs="微软雅黑"/>
          <w:color w:val="auto"/>
          <w:sz w:val="24"/>
          <w:szCs w:val="24"/>
        </w:rPr>
      </w:pPr>
      <w:bookmarkStart w:id="88" w:name="_Toc15905"/>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6"/>
      <w:bookmarkEnd w:id="87"/>
      <w:bookmarkEnd w:id="88"/>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各项投标报价为包干价（报价表见附件），包含服务费、专家评审费、差旅费、住宿费、保险费、税费等各项费用。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Style w:val="3"/>
        <w:keepNext/>
        <w:keepLines/>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sz w:val="28"/>
          <w:szCs w:val="28"/>
        </w:rPr>
      </w:pPr>
      <w:bookmarkStart w:id="89" w:name="_Toc403569795"/>
      <w:bookmarkStart w:id="90" w:name="_Toc7358"/>
      <w:bookmarkStart w:id="91" w:name="_Toc485108793"/>
      <w:r>
        <w:rPr>
          <w:rFonts w:hint="eastAsia" w:ascii="方正仿宋_GBK" w:hAnsi="宋体" w:eastAsia="方正仿宋_GBK" w:cs="宋体"/>
          <w:b w:val="0"/>
          <w:color w:val="auto"/>
          <w:kern w:val="0"/>
          <w:sz w:val="24"/>
          <w:szCs w:val="24"/>
          <w:lang w:val="en-US" w:eastAsia="zh-CN" w:bidi="ar-SA"/>
        </w:rPr>
        <w:t xml:space="preserve">服务方按时完成相关工作后，评价报告书得到卫生主管部门的认可后，采购方凭服务方提供的合法发票于60日内转账支付服务费用。 </w:t>
      </w:r>
      <w:r>
        <w:rPr>
          <w:rFonts w:hint="eastAsia" w:asciiTheme="minorEastAsia" w:hAnsiTheme="minorEastAsia" w:eastAsiaTheme="minorEastAsia"/>
          <w:sz w:val="28"/>
          <w:szCs w:val="28"/>
        </w:rPr>
        <w:t xml:space="preserve">      </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bookmarkStart w:id="92" w:name="_Toc11645"/>
      <w:r>
        <w:rPr>
          <w:rFonts w:hint="eastAsia" w:ascii="微软雅黑" w:hAnsi="微软雅黑" w:eastAsia="微软雅黑" w:cs="微软雅黑"/>
          <w:color w:val="auto"/>
          <w:sz w:val="24"/>
          <w:szCs w:val="24"/>
        </w:rPr>
        <w:t>、知识产权</w:t>
      </w:r>
      <w:bookmarkEnd w:id="9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89"/>
      <w:bookmarkEnd w:id="90"/>
      <w:bookmarkEnd w:id="9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9"/>
      <w:bookmarkEnd w:id="80"/>
      <w:bookmarkStart w:id="93" w:name="_Toc14840"/>
      <w:bookmarkStart w:id="94" w:name="_Toc485108794"/>
      <w:bookmarkStart w:id="95" w:name="_Toc403569796"/>
      <w:bookmarkStart w:id="96" w:name="_Toc303945820"/>
      <w:bookmarkStart w:id="97" w:name="_Toc148265480"/>
      <w:r>
        <w:rPr>
          <w:rFonts w:hint="eastAsia" w:ascii="微软雅黑" w:hAnsi="微软雅黑" w:eastAsia="微软雅黑" w:cs="微软雅黑"/>
          <w:b/>
          <w:color w:val="auto"/>
          <w:sz w:val="36"/>
          <w:szCs w:val="36"/>
        </w:rPr>
        <w:t>第五篇  合同草案条款</w:t>
      </w:r>
      <w:bookmarkEnd w:id="93"/>
      <w:bookmarkEnd w:id="94"/>
      <w:bookmarkEnd w:id="95"/>
    </w:p>
    <w:p>
      <w:pPr>
        <w:pStyle w:val="3"/>
        <w:spacing w:line="240" w:lineRule="auto"/>
        <w:rPr>
          <w:rFonts w:hint="eastAsia" w:ascii="微软雅黑" w:hAnsi="微软雅黑" w:eastAsia="微软雅黑" w:cs="微软雅黑"/>
          <w:color w:val="auto"/>
          <w:sz w:val="24"/>
          <w:szCs w:val="24"/>
        </w:rPr>
      </w:pPr>
      <w:bookmarkStart w:id="98" w:name="_Toc30815"/>
      <w:bookmarkStart w:id="99" w:name="_Toc54718202"/>
      <w:r>
        <w:rPr>
          <w:rFonts w:hint="eastAsia" w:ascii="微软雅黑" w:hAnsi="微软雅黑" w:eastAsia="微软雅黑" w:cs="微软雅黑"/>
          <w:color w:val="auto"/>
          <w:sz w:val="24"/>
          <w:szCs w:val="24"/>
        </w:rPr>
        <w:t>一、定义</w:t>
      </w:r>
      <w:bookmarkEnd w:id="98"/>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988"/>
      <w:r>
        <w:rPr>
          <w:rFonts w:hint="eastAsia" w:ascii="方正仿宋_GBK" w:hAnsi="宋体" w:eastAsia="方正仿宋_GBK" w:cs="Times New Roman"/>
          <w:color w:val="auto"/>
          <w:sz w:val="24"/>
          <w:szCs w:val="24"/>
        </w:rPr>
        <w:t>（一）甲方（需方）即重庆医科大学附属永川医院。</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4"/>
    </w:p>
    <w:p>
      <w:pPr>
        <w:pStyle w:val="3"/>
        <w:spacing w:line="240" w:lineRule="auto"/>
        <w:rPr>
          <w:rFonts w:hint="eastAsia" w:ascii="微软雅黑" w:hAnsi="微软雅黑" w:eastAsia="微软雅黑" w:cs="微软雅黑"/>
          <w:color w:val="auto"/>
          <w:sz w:val="24"/>
          <w:szCs w:val="24"/>
        </w:rPr>
      </w:pPr>
      <w:bookmarkStart w:id="105" w:name="_Toc17879"/>
      <w:bookmarkStart w:id="106"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5"/>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28967"/>
      <w:r>
        <w:rPr>
          <w:rFonts w:hint="eastAsia" w:ascii="方正仿宋_GBK" w:hAnsi="宋体" w:eastAsia="方正仿宋_GBK" w:cs="Times New Roman"/>
          <w:color w:val="auto"/>
          <w:sz w:val="24"/>
          <w:szCs w:val="24"/>
        </w:rPr>
        <w:t>合同包括以下内容：</w:t>
      </w:r>
      <w:bookmarkEnd w:id="107"/>
      <w:r>
        <w:rPr>
          <w:rFonts w:hint="eastAsia" w:ascii="微软雅黑" w:hAnsi="微软雅黑" w:eastAsia="微软雅黑" w:cs="微软雅黑"/>
          <w:b w:val="0"/>
          <w:color w:val="auto"/>
          <w:kern w:val="2"/>
          <w:sz w:val="24"/>
          <w:szCs w:val="24"/>
          <w:lang w:val="en-US" w:eastAsia="zh-CN" w:bidi="ar-SA"/>
        </w:rPr>
        <w:t>服务内容、服务要求、技术参数、工作方案</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8" w:name="_Toc54718204"/>
      <w:bookmarkStart w:id="109" w:name="_Toc8853"/>
      <w:r>
        <w:rPr>
          <w:rFonts w:hint="eastAsia" w:ascii="微软雅黑" w:hAnsi="微软雅黑" w:eastAsia="微软雅黑" w:cs="微软雅黑"/>
          <w:color w:val="auto"/>
          <w:sz w:val="24"/>
          <w:szCs w:val="24"/>
        </w:rPr>
        <w:t>三、合同价格</w:t>
      </w:r>
      <w:bookmarkEnd w:id="108"/>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5177"/>
      <w:bookmarkStart w:id="111"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w:t>
      </w:r>
      <w:r>
        <w:rPr>
          <w:rFonts w:hint="eastAsia" w:ascii="方正仿宋_GBK" w:hAnsi="宋体" w:eastAsia="方正仿宋_GBK" w:cs="Times New Roman"/>
          <w:color w:val="auto"/>
          <w:sz w:val="24"/>
          <w:szCs w:val="24"/>
          <w:lang w:val="en-US" w:eastAsia="zh-CN"/>
        </w:rPr>
        <w:t>总价</w:t>
      </w:r>
      <w:r>
        <w:rPr>
          <w:rFonts w:hint="eastAsia" w:ascii="方正仿宋_GBK" w:hAnsi="宋体" w:eastAsia="方正仿宋_GBK" w:cs="Times New Roman"/>
          <w:color w:val="auto"/>
          <w:sz w:val="24"/>
          <w:szCs w:val="24"/>
        </w:rPr>
        <w:t>。</w:t>
      </w:r>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19296"/>
      <w:r>
        <w:rPr>
          <w:rFonts w:hint="eastAsia" w:ascii="方正仿宋_GBK" w:hAnsi="宋体" w:eastAsia="方正仿宋_GBK" w:cs="Times New Roman"/>
          <w:color w:val="auto"/>
          <w:sz w:val="24"/>
          <w:szCs w:val="24"/>
        </w:rPr>
        <w:t>（三）合同单价为不变价。</w:t>
      </w:r>
      <w:bookmarkEnd w:id="113"/>
    </w:p>
    <w:p>
      <w:pPr>
        <w:pStyle w:val="3"/>
        <w:spacing w:line="240" w:lineRule="auto"/>
        <w:rPr>
          <w:rFonts w:hint="eastAsia" w:ascii="微软雅黑" w:hAnsi="微软雅黑" w:eastAsia="微软雅黑" w:cs="微软雅黑"/>
          <w:color w:val="auto"/>
          <w:sz w:val="24"/>
          <w:szCs w:val="24"/>
        </w:rPr>
      </w:pPr>
      <w:bookmarkStart w:id="114" w:name="_Toc24410"/>
      <w:r>
        <w:rPr>
          <w:rFonts w:hint="eastAsia" w:ascii="微软雅黑" w:hAnsi="微软雅黑" w:eastAsia="微软雅黑" w:cs="微软雅黑"/>
          <w:color w:val="auto"/>
          <w:sz w:val="24"/>
          <w:szCs w:val="24"/>
        </w:rPr>
        <w:t>四、转包或分包</w:t>
      </w:r>
      <w:bookmarkEnd w:id="111"/>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7"/>
    </w:p>
    <w:p>
      <w:pPr>
        <w:pStyle w:val="3"/>
        <w:spacing w:line="240" w:lineRule="auto"/>
        <w:rPr>
          <w:rFonts w:hint="eastAsia" w:ascii="微软雅黑" w:hAnsi="微软雅黑" w:eastAsia="微软雅黑" w:cs="微软雅黑"/>
          <w:color w:val="auto"/>
          <w:sz w:val="24"/>
          <w:szCs w:val="24"/>
        </w:rPr>
      </w:pPr>
      <w:bookmarkStart w:id="118" w:name="_Toc54718206"/>
      <w:bookmarkStart w:id="119" w:name="_Toc2241"/>
      <w:r>
        <w:rPr>
          <w:rFonts w:hint="eastAsia" w:ascii="微软雅黑" w:hAnsi="微软雅黑" w:eastAsia="微软雅黑" w:cs="微软雅黑"/>
          <w:color w:val="auto"/>
          <w:sz w:val="24"/>
          <w:szCs w:val="24"/>
        </w:rPr>
        <w:t>五、质量保证及售后服务</w:t>
      </w:r>
      <w:bookmarkEnd w:id="118"/>
      <w:bookmarkEnd w:id="11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20" w:name="_Toc12985"/>
      <w:bookmarkStart w:id="12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2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21"/>
    </w:p>
    <w:p>
      <w:pPr>
        <w:pStyle w:val="3"/>
        <w:spacing w:line="240" w:lineRule="auto"/>
        <w:rPr>
          <w:rFonts w:hint="eastAsia" w:ascii="微软雅黑" w:hAnsi="微软雅黑" w:eastAsia="微软雅黑" w:cs="微软雅黑"/>
          <w:color w:val="auto"/>
          <w:sz w:val="24"/>
          <w:szCs w:val="24"/>
        </w:rPr>
      </w:pPr>
      <w:bookmarkStart w:id="122" w:name="_Toc9053"/>
      <w:bookmarkStart w:id="123" w:name="_Toc54718207"/>
      <w:r>
        <w:rPr>
          <w:rFonts w:hint="eastAsia" w:ascii="微软雅黑" w:hAnsi="微软雅黑" w:eastAsia="微软雅黑" w:cs="微软雅黑"/>
          <w:color w:val="auto"/>
          <w:sz w:val="24"/>
          <w:szCs w:val="24"/>
        </w:rPr>
        <w:t>六、付款</w:t>
      </w:r>
      <w:bookmarkEnd w:id="122"/>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3183"/>
      <w:r>
        <w:rPr>
          <w:rFonts w:hint="eastAsia" w:ascii="方正仿宋_GBK" w:hAnsi="宋体" w:eastAsia="方正仿宋_GBK" w:cs="Times New Roman"/>
          <w:color w:val="auto"/>
          <w:sz w:val="24"/>
          <w:szCs w:val="24"/>
        </w:rPr>
        <w:t>（一）本合同使用货币币制如未作特别说明均为人民币。</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8880"/>
      <w:r>
        <w:rPr>
          <w:rFonts w:hint="eastAsia" w:ascii="方正仿宋_GBK" w:hAnsi="宋体" w:eastAsia="方正仿宋_GBK" w:cs="Times New Roman"/>
          <w:color w:val="auto"/>
          <w:sz w:val="24"/>
          <w:szCs w:val="24"/>
        </w:rPr>
        <w:t>（二）付款方式：银行转账。</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6"/>
    </w:p>
    <w:p>
      <w:pPr>
        <w:pStyle w:val="3"/>
        <w:spacing w:line="240" w:lineRule="auto"/>
        <w:rPr>
          <w:rFonts w:hint="eastAsia" w:ascii="微软雅黑" w:hAnsi="微软雅黑" w:eastAsia="微软雅黑" w:cs="微软雅黑"/>
          <w:color w:val="auto"/>
          <w:sz w:val="24"/>
          <w:szCs w:val="24"/>
        </w:rPr>
      </w:pPr>
      <w:bookmarkStart w:id="127" w:name="_Toc54718211"/>
      <w:bookmarkStart w:id="128"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7"/>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5382"/>
      <w:r>
        <w:rPr>
          <w:rFonts w:hint="eastAsia" w:ascii="方正仿宋_GBK" w:hAnsi="宋体" w:eastAsia="方正仿宋_GBK" w:cs="Times New Roman"/>
          <w:color w:val="auto"/>
          <w:sz w:val="24"/>
          <w:szCs w:val="24"/>
        </w:rPr>
        <w:t>（一）当事人友好协商达成一致</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9926"/>
      <w:r>
        <w:rPr>
          <w:rFonts w:hint="eastAsia" w:ascii="方正仿宋_GBK" w:hAnsi="宋体" w:eastAsia="方正仿宋_GBK" w:cs="Times New Roman"/>
          <w:color w:val="auto"/>
          <w:sz w:val="24"/>
          <w:szCs w:val="24"/>
        </w:rPr>
        <w:t>（二）</w:t>
      </w:r>
      <w:bookmarkEnd w:id="13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rPr>
          <w:rFonts w:hint="eastAsia" w:ascii="方正仿宋_GBK" w:hAnsi="宋体" w:eastAsia="方正仿宋_GBK"/>
          <w:b/>
          <w:bCs/>
          <w:color w:val="auto"/>
          <w:sz w:val="24"/>
          <w:szCs w:val="24"/>
        </w:rPr>
      </w:pPr>
      <w:bookmarkStart w:id="131" w:name="_Toc26580"/>
      <w:bookmarkStart w:id="132" w:name="_Toc54718212"/>
      <w:r>
        <w:rPr>
          <w:rFonts w:hint="eastAsia" w:ascii="方正仿宋_GBK" w:hAnsi="宋体" w:eastAsia="方正仿宋_GBK"/>
          <w:b/>
          <w:bCs/>
          <w:color w:val="auto"/>
          <w:sz w:val="24"/>
          <w:szCs w:val="24"/>
        </w:rPr>
        <w:t>八、索赔</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供方对货物与合同要求不符负有责任，并且需方已于规定交货内和质量保证期内提出索赔，供方应按需方同意的下述一种或多种方法解决索赔事宜。</w:t>
      </w:r>
    </w:p>
    <w:p>
      <w:pPr>
        <w:snapToGrid w:val="0"/>
        <w:spacing w:line="400" w:lineRule="exact"/>
        <w:ind w:firstLine="480" w:firstLineChars="200"/>
        <w:rPr>
          <w:rFonts w:hint="eastAsia" w:ascii="方正仿宋_GBK" w:hAnsi="宋体" w:eastAsia="方正仿宋_GBK"/>
          <w:color w:val="auto"/>
          <w:sz w:val="24"/>
          <w:szCs w:val="24"/>
        </w:rPr>
      </w:pPr>
      <w:bookmarkStart w:id="133" w:name="_Toc2616"/>
      <w:r>
        <w:rPr>
          <w:rFonts w:hint="eastAsia" w:ascii="方正仿宋_GBK" w:hAnsi="宋体" w:eastAsia="方正仿宋_GBK"/>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3"/>
    </w:p>
    <w:p>
      <w:pPr>
        <w:snapToGrid w:val="0"/>
        <w:spacing w:line="400" w:lineRule="exact"/>
        <w:ind w:firstLine="480" w:firstLineChars="200"/>
        <w:outlineLvl w:val="1"/>
        <w:rPr>
          <w:rFonts w:hint="eastAsia" w:ascii="方正仿宋_GBK" w:hAnsi="宋体" w:eastAsia="方正仿宋_GBK"/>
          <w:b/>
          <w:bCs/>
          <w:color w:val="auto"/>
          <w:sz w:val="24"/>
          <w:szCs w:val="24"/>
        </w:rPr>
      </w:pPr>
      <w:bookmarkStart w:id="134" w:name="_Toc32371"/>
      <w:r>
        <w:rPr>
          <w:rFonts w:hint="eastAsia" w:ascii="方正仿宋_GBK" w:hAnsi="宋体" w:eastAsia="方正仿宋_GBK"/>
          <w:color w:val="auto"/>
          <w:sz w:val="24"/>
          <w:szCs w:val="24"/>
        </w:rPr>
        <w:t>（二）根据货物的疵劣和受损程度以及需方遭受损失的金额，经双方同意降低货物价格。</w:t>
      </w:r>
      <w:bookmarkEnd w:id="134"/>
    </w:p>
    <w:p>
      <w:pPr>
        <w:snapToGrid w:val="0"/>
        <w:spacing w:line="400" w:lineRule="exact"/>
        <w:outlineLvl w:val="1"/>
        <w:rPr>
          <w:rFonts w:hint="eastAsia" w:ascii="方正仿宋_GBK" w:hAnsi="宋体" w:eastAsia="方正仿宋_GBK"/>
          <w:b/>
          <w:bCs/>
          <w:color w:val="auto"/>
          <w:sz w:val="24"/>
          <w:szCs w:val="24"/>
        </w:rPr>
      </w:pPr>
      <w:bookmarkStart w:id="135" w:name="_Toc54718210"/>
      <w:bookmarkStart w:id="136" w:name="_Toc31719"/>
      <w:r>
        <w:rPr>
          <w:rFonts w:hint="eastAsia" w:ascii="方正仿宋_GBK" w:hAnsi="宋体" w:eastAsia="方正仿宋_GBK"/>
          <w:b/>
          <w:bCs/>
          <w:color w:val="auto"/>
          <w:sz w:val="24"/>
          <w:szCs w:val="24"/>
        </w:rPr>
        <w:t>九、知识产权</w:t>
      </w:r>
      <w:bookmarkEnd w:id="135"/>
      <w:bookmarkEnd w:id="136"/>
    </w:p>
    <w:p>
      <w:pPr>
        <w:snapToGrid w:val="0"/>
        <w:spacing w:line="400" w:lineRule="exact"/>
        <w:ind w:firstLine="480" w:firstLineChars="200"/>
        <w:rPr>
          <w:rFonts w:hint="eastAsia" w:ascii="方正仿宋_GBK" w:hAnsi="宋体" w:eastAsia="方正仿宋_GBK"/>
          <w:color w:val="auto"/>
          <w:sz w:val="24"/>
          <w:szCs w:val="24"/>
        </w:rPr>
      </w:pPr>
      <w:bookmarkStart w:id="13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8" w:name="_Toc17287"/>
      <w:r>
        <w:rPr>
          <w:rFonts w:hint="eastAsia" w:ascii="方正仿宋_GBK" w:hAnsi="宋体" w:eastAsia="方正仿宋_GBK"/>
          <w:color w:val="auto"/>
          <w:sz w:val="24"/>
          <w:szCs w:val="24"/>
        </w:rPr>
        <w:t>（二）若涉及软件开发等服务类项目知识产权的，知识产权归医院所有。</w:t>
      </w:r>
      <w:bookmarkEnd w:id="13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、违约责任</w:t>
      </w:r>
      <w:bookmarkEnd w:id="131"/>
      <w:bookmarkEnd w:id="13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40" w:name="_Toc16142"/>
      <w:r>
        <w:rPr>
          <w:rFonts w:hint="eastAsia" w:ascii="微软雅黑" w:hAnsi="微软雅黑" w:eastAsia="微软雅黑" w:cs="微软雅黑"/>
          <w:color w:val="auto"/>
          <w:sz w:val="24"/>
          <w:szCs w:val="24"/>
          <w:lang w:eastAsia="zh-CN"/>
        </w:rPr>
        <w:t>十一</w:t>
      </w:r>
      <w:r>
        <w:rPr>
          <w:rFonts w:hint="eastAsia" w:ascii="微软雅黑" w:hAnsi="微软雅黑" w:eastAsia="微软雅黑" w:cs="微软雅黑"/>
          <w:color w:val="auto"/>
          <w:sz w:val="24"/>
          <w:szCs w:val="24"/>
        </w:rPr>
        <w:t>、合同生效及其它</w:t>
      </w:r>
      <w:bookmarkEnd w:id="139"/>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7071"/>
      <w:r>
        <w:rPr>
          <w:rFonts w:hint="eastAsia" w:ascii="方正仿宋_GBK" w:hAnsi="宋体" w:eastAsia="方正仿宋_GBK" w:cs="Times New Roman"/>
          <w:color w:val="auto"/>
          <w:sz w:val="24"/>
          <w:szCs w:val="24"/>
        </w:rPr>
        <w:t>（一）合同生效及其效力应符合《中华人民共和国民法典》有关规定。</w:t>
      </w:r>
      <w:bookmarkEnd w:id="141"/>
    </w:p>
    <w:p>
      <w:pPr>
        <w:snapToGrid w:val="0"/>
        <w:spacing w:line="400" w:lineRule="exact"/>
        <w:ind w:firstLine="480" w:firstLineChars="200"/>
        <w:jc w:val="left"/>
        <w:rPr>
          <w:rFonts w:ascii="方正仿宋_GBK" w:hAnsi="宋体" w:eastAsia="方正仿宋_GBK" w:cs="Times New Roman"/>
          <w:color w:val="auto"/>
          <w:sz w:val="24"/>
          <w:szCs w:val="24"/>
        </w:rPr>
      </w:pPr>
      <w:bookmarkStart w:id="14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42"/>
    </w:p>
    <w:p>
      <w:pPr>
        <w:snapToGrid w:val="0"/>
        <w:spacing w:line="400" w:lineRule="exact"/>
        <w:ind w:firstLine="480" w:firstLineChars="200"/>
        <w:jc w:val="left"/>
        <w:rPr>
          <w:rFonts w:ascii="方正仿宋_GBK" w:hAnsi="宋体" w:eastAsia="方正仿宋_GBK" w:cs="Times New Roman"/>
          <w:color w:val="auto"/>
          <w:sz w:val="24"/>
          <w:szCs w:val="24"/>
        </w:rPr>
      </w:pPr>
      <w:bookmarkStart w:id="14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43"/>
    </w:p>
    <w:p>
      <w:pPr>
        <w:snapToGrid w:val="0"/>
        <w:spacing w:line="400" w:lineRule="exact"/>
        <w:ind w:firstLine="480" w:firstLineChars="200"/>
        <w:jc w:val="left"/>
        <w:rPr>
          <w:rFonts w:ascii="方正仿宋_GBK" w:hAnsi="宋体" w:eastAsia="方正仿宋_GBK" w:cs="Times New Roman"/>
          <w:color w:val="auto"/>
          <w:sz w:val="24"/>
          <w:szCs w:val="24"/>
        </w:rPr>
      </w:pPr>
      <w:bookmarkStart w:id="144" w:name="_Toc28233"/>
      <w:r>
        <w:rPr>
          <w:rFonts w:hint="eastAsia" w:ascii="方正仿宋_GBK" w:hAnsi="宋体" w:eastAsia="方正仿宋_GBK" w:cs="Times New Roman"/>
          <w:color w:val="auto"/>
          <w:sz w:val="24"/>
          <w:szCs w:val="24"/>
        </w:rPr>
        <w:t>（四）合同需提供担保的，按《中华人民共和国担保法》规定执行。</w:t>
      </w:r>
      <w:bookmarkEnd w:id="144"/>
    </w:p>
    <w:p>
      <w:pPr>
        <w:snapToGrid w:val="0"/>
        <w:spacing w:line="400" w:lineRule="exact"/>
        <w:ind w:firstLine="480" w:firstLineChars="200"/>
        <w:jc w:val="left"/>
        <w:rPr>
          <w:rFonts w:ascii="方正仿宋_GBK" w:hAnsi="宋体" w:eastAsia="方正仿宋_GBK" w:cs="Times New Roman"/>
          <w:color w:val="auto"/>
          <w:sz w:val="24"/>
          <w:szCs w:val="24"/>
        </w:rPr>
      </w:pPr>
      <w:bookmarkStart w:id="14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5"/>
    </w:p>
    <w:bookmarkEnd w:id="96"/>
    <w:bookmarkEnd w:id="97"/>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46" w:name="_Hlt41879464"/>
      <w:bookmarkEnd w:id="146"/>
      <w:bookmarkStart w:id="147" w:name="_Toc12789072"/>
      <w:bookmarkStart w:id="148" w:name="_Toc485108795"/>
      <w:bookmarkStart w:id="149" w:name="_Toc13696"/>
      <w:r>
        <w:rPr>
          <w:rFonts w:hint="eastAsia" w:ascii="微软雅黑" w:hAnsi="微软雅黑" w:eastAsia="微软雅黑" w:cs="微软雅黑"/>
          <w:b/>
          <w:color w:val="auto"/>
          <w:sz w:val="36"/>
          <w:szCs w:val="36"/>
        </w:rPr>
        <w:t>第六篇  响应文件格式要求</w:t>
      </w:r>
      <w:bookmarkEnd w:id="147"/>
      <w:bookmarkEnd w:id="148"/>
      <w:bookmarkEnd w:id="149"/>
    </w:p>
    <w:p>
      <w:pPr>
        <w:pStyle w:val="3"/>
        <w:spacing w:line="240" w:lineRule="auto"/>
        <w:rPr>
          <w:rFonts w:hint="eastAsia" w:ascii="微软雅黑" w:hAnsi="微软雅黑" w:eastAsia="微软雅黑" w:cs="微软雅黑"/>
          <w:color w:val="auto"/>
          <w:sz w:val="24"/>
          <w:szCs w:val="24"/>
        </w:rPr>
      </w:pPr>
      <w:bookmarkStart w:id="150" w:name="_Toc27382"/>
      <w:r>
        <w:rPr>
          <w:rFonts w:hint="eastAsia" w:ascii="微软雅黑" w:hAnsi="微软雅黑" w:eastAsia="微软雅黑" w:cs="微软雅黑"/>
          <w:color w:val="auto"/>
          <w:sz w:val="24"/>
          <w:szCs w:val="24"/>
        </w:rPr>
        <w:t>一、经济部分</w:t>
      </w:r>
      <w:bookmarkEnd w:id="15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51" w:name="_Toc6305"/>
      <w:r>
        <w:rPr>
          <w:rFonts w:hint="eastAsia" w:ascii="微软雅黑" w:hAnsi="微软雅黑" w:eastAsia="微软雅黑" w:cs="微软雅黑"/>
          <w:color w:val="auto"/>
          <w:sz w:val="24"/>
          <w:szCs w:val="24"/>
        </w:rPr>
        <w:t>二、服务部分</w:t>
      </w:r>
      <w:bookmarkEnd w:id="15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52" w:name="_Toc7207"/>
      <w:r>
        <w:rPr>
          <w:rFonts w:hint="eastAsia" w:ascii="微软雅黑" w:hAnsi="微软雅黑" w:eastAsia="微软雅黑" w:cs="微软雅黑"/>
          <w:color w:val="auto"/>
          <w:sz w:val="24"/>
          <w:szCs w:val="24"/>
        </w:rPr>
        <w:t>三、商务部分</w:t>
      </w:r>
      <w:bookmarkEnd w:id="152"/>
    </w:p>
    <w:p>
      <w:pPr>
        <w:snapToGrid w:val="0"/>
        <w:spacing w:line="360" w:lineRule="auto"/>
        <w:ind w:firstLine="480" w:firstLineChars="200"/>
        <w:rPr>
          <w:rFonts w:hint="eastAsia" w:ascii="微软雅黑" w:hAnsi="微软雅黑" w:eastAsia="微软雅黑" w:cs="微软雅黑"/>
          <w:color w:val="auto"/>
          <w:sz w:val="24"/>
          <w:szCs w:val="24"/>
        </w:rPr>
      </w:pPr>
      <w:bookmarkStart w:id="153" w:name="_Toc38358147"/>
      <w:bookmarkStart w:id="154" w:name="OLE_LINK11"/>
      <w:bookmarkStart w:id="155" w:name="OLE_LINK10"/>
      <w:r>
        <w:rPr>
          <w:rFonts w:hint="eastAsia" w:ascii="微软雅黑" w:hAnsi="微软雅黑" w:eastAsia="微软雅黑" w:cs="微软雅黑"/>
          <w:color w:val="auto"/>
          <w:sz w:val="24"/>
          <w:szCs w:val="24"/>
        </w:rPr>
        <w:t>（一）按照“第四篇  项目商务需求”提供相应资料</w:t>
      </w:r>
      <w:bookmarkEnd w:id="15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6" w:name="_Toc18417"/>
      <w:r>
        <w:rPr>
          <w:rFonts w:hint="eastAsia" w:ascii="微软雅黑" w:hAnsi="微软雅黑" w:eastAsia="微软雅黑" w:cs="微软雅黑"/>
          <w:color w:val="auto"/>
          <w:sz w:val="24"/>
          <w:szCs w:val="24"/>
        </w:rPr>
        <w:t>四、资格条件及其他</w:t>
      </w:r>
      <w:bookmarkEnd w:id="15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57" w:name="_Toc19884"/>
      <w:r>
        <w:rPr>
          <w:rFonts w:hint="eastAsia" w:ascii="微软雅黑" w:hAnsi="微软雅黑" w:eastAsia="微软雅黑" w:cs="微软雅黑"/>
          <w:color w:val="auto"/>
          <w:sz w:val="24"/>
          <w:szCs w:val="24"/>
        </w:rPr>
        <w:t>五、其他应提供的资料</w:t>
      </w:r>
      <w:bookmarkEnd w:id="15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54"/>
    <w:bookmarkEnd w:id="15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8" w:name="_Toc480979018"/>
      <w:bookmarkStart w:id="159" w:name="_Toc342913419"/>
      <w:bookmarkStart w:id="160" w:name="_Toc485108796"/>
      <w:bookmarkStart w:id="161" w:name="_Toc313888360"/>
      <w:bookmarkStart w:id="162" w:name="_Toc313008356"/>
      <w:bookmarkStart w:id="163" w:name="_Toc283382454"/>
      <w:bookmarkStart w:id="164" w:name="_Toc12789073"/>
      <w:r>
        <w:rPr>
          <w:rFonts w:hint="eastAsia"/>
          <w:b/>
          <w:color w:val="auto"/>
        </w:rPr>
        <w:t>经济部分</w:t>
      </w:r>
      <w:bookmarkEnd w:id="158"/>
      <w:bookmarkEnd w:id="159"/>
      <w:bookmarkEnd w:id="160"/>
      <w:bookmarkEnd w:id="161"/>
      <w:bookmarkEnd w:id="162"/>
    </w:p>
    <w:p>
      <w:pPr>
        <w:pStyle w:val="180"/>
        <w:ind w:left="450" w:firstLine="0" w:firstLineChars="0"/>
        <w:rPr>
          <w:b/>
          <w:color w:val="auto"/>
        </w:rPr>
      </w:pPr>
    </w:p>
    <w:bookmarkEnd w:id="163"/>
    <w:bookmarkEnd w:id="16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重症CT机职业病预控评服务</w:t>
      </w:r>
    </w:p>
    <w:tbl>
      <w:tblPr>
        <w:tblStyle w:val="58"/>
        <w:tblpPr w:leftFromText="180" w:rightFromText="180" w:vertAnchor="text" w:horzAnchor="margin" w:tblpXSpec="center" w:tblpY="421"/>
        <w:tblW w:w="7934"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823" w:type="dxa"/>
            <w:vAlign w:val="center"/>
          </w:tcPr>
          <w:p>
            <w:pPr>
              <w:spacing w:line="360" w:lineRule="auto"/>
              <w:jc w:val="center"/>
              <w:rPr>
                <w:rFonts w:ascii="宋体" w:hAnsi="宋体"/>
                <w:sz w:val="24"/>
              </w:rPr>
            </w:pPr>
            <w:r>
              <w:rPr>
                <w:rFonts w:hint="eastAsia" w:ascii="宋体" w:hAnsi="宋体"/>
                <w:sz w:val="24"/>
              </w:rPr>
              <w:t>项目名称</w:t>
            </w:r>
          </w:p>
        </w:tc>
        <w:tc>
          <w:tcPr>
            <w:tcW w:w="2693" w:type="dxa"/>
            <w:vAlign w:val="center"/>
          </w:tcPr>
          <w:p>
            <w:pPr>
              <w:spacing w:line="360" w:lineRule="auto"/>
              <w:jc w:val="center"/>
              <w:rPr>
                <w:rFonts w:ascii="宋体" w:hAnsi="宋体"/>
                <w:sz w:val="24"/>
              </w:rPr>
            </w:pPr>
            <w:r>
              <w:rPr>
                <w:rFonts w:hint="eastAsia" w:ascii="宋体" w:hAnsi="宋体"/>
                <w:sz w:val="24"/>
              </w:rPr>
              <w:t>费用（元）</w:t>
            </w:r>
          </w:p>
        </w:tc>
        <w:tc>
          <w:tcPr>
            <w:tcW w:w="1418"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823" w:type="dxa"/>
            <w:vAlign w:val="center"/>
          </w:tcPr>
          <w:p>
            <w:pPr>
              <w:spacing w:line="360" w:lineRule="auto"/>
              <w:jc w:val="center"/>
              <w:rPr>
                <w:rFonts w:ascii="宋体" w:hAnsi="宋体"/>
                <w:sz w:val="24"/>
              </w:rPr>
            </w:pPr>
            <w:r>
              <w:rPr>
                <w:rFonts w:hint="eastAsia" w:ascii="宋体" w:hAnsi="宋体"/>
                <w:sz w:val="24"/>
              </w:rPr>
              <w:t>预控评服务</w:t>
            </w:r>
          </w:p>
        </w:tc>
        <w:tc>
          <w:tcPr>
            <w:tcW w:w="2693" w:type="dxa"/>
            <w:vAlign w:val="center"/>
          </w:tcPr>
          <w:p>
            <w:pPr>
              <w:spacing w:line="360" w:lineRule="auto"/>
              <w:jc w:val="center"/>
              <w:rPr>
                <w:rFonts w:ascii="宋体" w:hAnsi="宋体"/>
                <w:sz w:val="24"/>
              </w:rPr>
            </w:pPr>
          </w:p>
        </w:tc>
        <w:tc>
          <w:tcPr>
            <w:tcW w:w="1418"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823" w:type="dxa"/>
            <w:vAlign w:val="center"/>
          </w:tcPr>
          <w:p>
            <w:pPr>
              <w:spacing w:line="360" w:lineRule="auto"/>
              <w:jc w:val="center"/>
              <w:rPr>
                <w:rFonts w:ascii="宋体" w:hAnsi="宋体"/>
                <w:sz w:val="24"/>
              </w:rPr>
            </w:pPr>
            <w:r>
              <w:rPr>
                <w:rFonts w:hint="eastAsia" w:ascii="宋体" w:hAnsi="宋体"/>
                <w:sz w:val="24"/>
              </w:rPr>
              <w:t>工期</w:t>
            </w:r>
          </w:p>
        </w:tc>
        <w:tc>
          <w:tcPr>
            <w:tcW w:w="4111" w:type="dxa"/>
            <w:gridSpan w:val="2"/>
            <w:vAlign w:val="center"/>
          </w:tcPr>
          <w:p>
            <w:pPr>
              <w:spacing w:line="360" w:lineRule="auto"/>
              <w:jc w:val="center"/>
              <w:rPr>
                <w:rFonts w:ascii="宋体" w:hAnsi="宋体"/>
                <w:sz w:val="24"/>
              </w:rPr>
            </w:pPr>
            <w:r>
              <w:rPr>
                <w:rFonts w:hint="eastAsia" w:ascii="宋体" w:hAnsi="宋体"/>
                <w:sz w:val="24"/>
                <w:u w:val="single"/>
              </w:rPr>
              <w:t xml:space="preserve">        </w:t>
            </w:r>
            <w:r>
              <w:rPr>
                <w:rFonts w:hint="eastAsia" w:ascii="宋体" w:hAnsi="宋体"/>
                <w:sz w:val="24"/>
              </w:rPr>
              <w:t>（天）</w:t>
            </w: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1、报价包含但不限于服务费、专家评审费、差旅费、住宿费、保险费、税费等各项费用。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65" w:name="OLE_LINK2"/>
      <w:bookmarkStart w:id="166" w:name="OLE_LINK1"/>
      <w:r>
        <w:rPr>
          <w:rFonts w:hint="eastAsia" w:ascii="方正仿宋_GBK" w:hAnsi="宋体" w:eastAsia="方正仿宋_GBK" w:cs="Times New Roman"/>
          <w:color w:val="auto"/>
          <w:sz w:val="24"/>
          <w:szCs w:val="28"/>
        </w:rPr>
        <w:t>，并逐页签字或盖章。</w:t>
      </w:r>
      <w:bookmarkEnd w:id="165"/>
      <w:bookmarkEnd w:id="166"/>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7" w:name="_Toc485108797"/>
      <w:bookmarkStart w:id="168" w:name="_Toc313008357"/>
      <w:bookmarkStart w:id="169" w:name="_Toc480979019"/>
      <w:bookmarkStart w:id="170" w:name="_Toc342913420"/>
      <w:bookmarkStart w:id="171" w:name="_Toc313888361"/>
      <w:r>
        <w:rPr>
          <w:rFonts w:hint="eastAsia"/>
          <w:b/>
          <w:color w:val="auto"/>
        </w:rPr>
        <w:t>二、服务部分</w:t>
      </w:r>
      <w:bookmarkEnd w:id="167"/>
      <w:bookmarkEnd w:id="168"/>
      <w:bookmarkEnd w:id="169"/>
      <w:bookmarkEnd w:id="170"/>
      <w:bookmarkEnd w:id="171"/>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72" w:name="_Toc342913421"/>
      <w:bookmarkStart w:id="173" w:name="_Toc480979020"/>
      <w:bookmarkStart w:id="174" w:name="_Toc313008358"/>
      <w:bookmarkStart w:id="175" w:name="_Toc313888362"/>
      <w:bookmarkStart w:id="176" w:name="_Toc485108798"/>
      <w:r>
        <w:rPr>
          <w:rFonts w:hint="eastAsia"/>
          <w:b/>
          <w:color w:val="auto"/>
        </w:rPr>
        <w:t>三、商务部分</w:t>
      </w:r>
      <w:bookmarkEnd w:id="172"/>
      <w:bookmarkEnd w:id="173"/>
      <w:bookmarkEnd w:id="174"/>
      <w:bookmarkEnd w:id="175"/>
      <w:bookmarkEnd w:id="176"/>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7"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7"/>
      <w:bookmarkStart w:id="178" w:name="_Toc313008359"/>
      <w:bookmarkStart w:id="179" w:name="_Toc313888363"/>
      <w:bookmarkStart w:id="180"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8"/>
      <w:bookmarkEnd w:id="179"/>
      <w:bookmarkEnd w:id="180"/>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81" w:name="OLE_LINK4"/>
      <w:bookmarkStart w:id="182"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81"/>
    <w:bookmarkEnd w:id="182"/>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4DA26C6"/>
    <w:rsid w:val="074B1659"/>
    <w:rsid w:val="07C5765D"/>
    <w:rsid w:val="07F26429"/>
    <w:rsid w:val="0ACF458A"/>
    <w:rsid w:val="0BDC31C7"/>
    <w:rsid w:val="0E0E625A"/>
    <w:rsid w:val="0E4D3D6E"/>
    <w:rsid w:val="0E5721EA"/>
    <w:rsid w:val="0E5A796A"/>
    <w:rsid w:val="0FAB0EE6"/>
    <w:rsid w:val="104D689B"/>
    <w:rsid w:val="109D57E0"/>
    <w:rsid w:val="134E0964"/>
    <w:rsid w:val="14C6168E"/>
    <w:rsid w:val="18130842"/>
    <w:rsid w:val="1CED540D"/>
    <w:rsid w:val="1D632E00"/>
    <w:rsid w:val="1DD87EDC"/>
    <w:rsid w:val="1F6D6E4A"/>
    <w:rsid w:val="1FCE723D"/>
    <w:rsid w:val="204C6181"/>
    <w:rsid w:val="20FB0BC7"/>
    <w:rsid w:val="21C45BE8"/>
    <w:rsid w:val="21F678C9"/>
    <w:rsid w:val="23743B1F"/>
    <w:rsid w:val="25B7688A"/>
    <w:rsid w:val="25B91E1A"/>
    <w:rsid w:val="26380176"/>
    <w:rsid w:val="275D539C"/>
    <w:rsid w:val="28CD4235"/>
    <w:rsid w:val="2BBD2276"/>
    <w:rsid w:val="2F2348BD"/>
    <w:rsid w:val="2F6F1AD9"/>
    <w:rsid w:val="2FD06C0B"/>
    <w:rsid w:val="30A44277"/>
    <w:rsid w:val="32050A97"/>
    <w:rsid w:val="3361798A"/>
    <w:rsid w:val="35E87A5C"/>
    <w:rsid w:val="369E4A52"/>
    <w:rsid w:val="38442273"/>
    <w:rsid w:val="38C010B0"/>
    <w:rsid w:val="391C67AE"/>
    <w:rsid w:val="39A3534F"/>
    <w:rsid w:val="3B30241A"/>
    <w:rsid w:val="3C4F6F1A"/>
    <w:rsid w:val="3DD60FEB"/>
    <w:rsid w:val="41007A8F"/>
    <w:rsid w:val="42030507"/>
    <w:rsid w:val="461B60BF"/>
    <w:rsid w:val="475461C4"/>
    <w:rsid w:val="492C6FBB"/>
    <w:rsid w:val="499D1F70"/>
    <w:rsid w:val="4A1025A8"/>
    <w:rsid w:val="4AD41B9B"/>
    <w:rsid w:val="4BE8259F"/>
    <w:rsid w:val="4C4E289A"/>
    <w:rsid w:val="4F2E0C11"/>
    <w:rsid w:val="514069D9"/>
    <w:rsid w:val="51D77CAA"/>
    <w:rsid w:val="52ED493F"/>
    <w:rsid w:val="55297C80"/>
    <w:rsid w:val="56FF2E93"/>
    <w:rsid w:val="58B574EB"/>
    <w:rsid w:val="59E56370"/>
    <w:rsid w:val="5B3E21DC"/>
    <w:rsid w:val="5BC414F3"/>
    <w:rsid w:val="5CAE15E3"/>
    <w:rsid w:val="5F3F2DAC"/>
    <w:rsid w:val="5FB15C3A"/>
    <w:rsid w:val="6022194E"/>
    <w:rsid w:val="611A50B4"/>
    <w:rsid w:val="619C43F3"/>
    <w:rsid w:val="6269072D"/>
    <w:rsid w:val="62A30CCB"/>
    <w:rsid w:val="645A13DB"/>
    <w:rsid w:val="66815672"/>
    <w:rsid w:val="6972525B"/>
    <w:rsid w:val="6B217424"/>
    <w:rsid w:val="6B28360F"/>
    <w:rsid w:val="6B9F4D55"/>
    <w:rsid w:val="6BAA3DD9"/>
    <w:rsid w:val="6DC70D5C"/>
    <w:rsid w:val="6E45126B"/>
    <w:rsid w:val="70E64A50"/>
    <w:rsid w:val="71231A63"/>
    <w:rsid w:val="73B34AD5"/>
    <w:rsid w:val="783A1618"/>
    <w:rsid w:val="7908485F"/>
    <w:rsid w:val="793F0B2C"/>
    <w:rsid w:val="797D07AB"/>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16815</Words>
  <Characters>17433</Characters>
  <Lines>182</Lines>
  <Paragraphs>51</Paragraphs>
  <TotalTime>2</TotalTime>
  <ScaleCrop>false</ScaleCrop>
  <LinksUpToDate>false</LinksUpToDate>
  <CharactersWithSpaces>18725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2023-01-03T09:59:27Z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D90EFDEDCD294DEAB041A069E42458C9</vt:lpwstr>
  </property>
</Properties>
</file>