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2022FW038</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保安负荷应急电源改造服务</w:t>
      </w: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二〇二二年</w:t>
      </w:r>
      <w:r>
        <w:rPr>
          <w:rFonts w:hint="eastAsia" w:ascii="方正小标宋_GBK" w:hAnsi="宋体" w:eastAsia="方正小标宋_GBK" w:cs="Times New Roman"/>
          <w:color w:val="auto"/>
          <w:sz w:val="28"/>
          <w:szCs w:val="28"/>
          <w:lang w:eastAsia="zh-CN"/>
        </w:rPr>
        <w:t>十一</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_Toc279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_Toc15905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w:t>
      </w:r>
      <w:r>
        <w:rPr>
          <w:rFonts w:hint="eastAsia" w:ascii="微软雅黑" w:hAnsi="微软雅黑" w:eastAsia="微软雅黑" w:cs="微软雅黑"/>
          <w:color w:val="auto"/>
          <w:szCs w:val="24"/>
          <w:lang w:eastAsia="zh-CN"/>
        </w:rPr>
        <w:t>验收方式</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五</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lang w:val="en-US" w:eastAsia="zh-CN"/>
        </w:rPr>
        <w:t>重庆医科大学附属永川医院参加医院院内采购活动来院人员</w:t>
      </w:r>
      <w:r>
        <w:rPr>
          <w:rFonts w:hint="eastAsia" w:ascii="微软雅黑" w:hAnsi="微软雅黑" w:eastAsia="微软雅黑" w:cs="微软雅黑"/>
          <w:color w:val="auto"/>
          <w:szCs w:val="36"/>
        </w:rPr>
        <w:t>新冠肺炎疫情防控工作</w:t>
      </w:r>
      <w:r>
        <w:rPr>
          <w:rFonts w:hint="eastAsia" w:ascii="微软雅黑" w:hAnsi="微软雅黑" w:eastAsia="微软雅黑" w:cs="微软雅黑"/>
          <w:color w:val="auto"/>
          <w:szCs w:val="36"/>
          <w:lang w:eastAsia="zh-CN"/>
        </w:rPr>
        <w:t>告知书</w:t>
      </w: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2789052"/>
      <w:bookmarkStart w:id="1" w:name="_Toc485108766"/>
      <w:bookmarkStart w:id="2" w:name="_Toc11641050"/>
      <w:bookmarkStart w:id="3" w:name="_Toc25875"/>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重庆医科大学附属永川医院对保安负荷应急电源改造服务进行院内比选采购。欢迎有资格、有实力的潜在供应商参加。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28443"/>
      <w:bookmarkStart w:id="7" w:name="_Toc485108767"/>
      <w:bookmarkStart w:id="8" w:name="_Toc317775175"/>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096"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661"/>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020"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auto"/>
                <w:sz w:val="24"/>
                <w:szCs w:val="24"/>
                <w:lang w:val="en-US"/>
              </w:rPr>
            </w:pPr>
            <w:r>
              <w:rPr>
                <w:rFonts w:hint="eastAsia" w:ascii="方正小标宋_GBK" w:hAnsi="宋体" w:eastAsia="方正小标宋_GBK" w:cs="Times New Roman"/>
                <w:color w:val="auto"/>
                <w:sz w:val="24"/>
                <w:szCs w:val="24"/>
                <w:lang w:val="en-US" w:eastAsia="zh-CN"/>
              </w:rPr>
              <w:t>保安负荷应急电源改造服务</w:t>
            </w:r>
          </w:p>
        </w:tc>
        <w:tc>
          <w:tcPr>
            <w:tcW w:w="2661"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020" w:type="dxa"/>
            <w:vAlign w:val="center"/>
          </w:tcPr>
          <w:p>
            <w:pPr>
              <w:spacing w:line="400" w:lineRule="exact"/>
              <w:ind w:firstLine="480" w:firstLineChars="200"/>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6609"/>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pStyle w:val="3"/>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宋体" w:eastAsia="方正仿宋_GBK" w:cs="Times New Roman"/>
          <w:b w:val="0"/>
          <w:color w:val="auto"/>
          <w:kern w:val="2"/>
          <w:sz w:val="24"/>
          <w:szCs w:val="24"/>
          <w:lang w:val="en-US" w:eastAsia="zh-CN" w:bidi="ar-SA"/>
        </w:rPr>
      </w:pPr>
      <w:bookmarkStart w:id="16" w:name="_Toc6"/>
      <w:bookmarkStart w:id="17" w:name="_Toc11958"/>
      <w:bookmarkStart w:id="18" w:name="_Toc102227313"/>
      <w:bookmarkStart w:id="19" w:name="_Toc485108774"/>
      <w:r>
        <w:rPr>
          <w:rFonts w:hint="eastAsia" w:ascii="方正仿宋_GBK" w:hAnsi="宋体" w:eastAsia="方正仿宋_GBK" w:cs="Times New Roman"/>
          <w:b w:val="0"/>
          <w:color w:val="auto"/>
          <w:kern w:val="2"/>
          <w:sz w:val="24"/>
          <w:szCs w:val="24"/>
          <w:lang w:val="en-US" w:eastAsia="zh-CN" w:bidi="ar-SA"/>
        </w:rPr>
        <w:t>有效的三证合一营业执照（经营范围包含水电维修相关内容）、从业人员需持有低压电工作业证书。</w:t>
      </w:r>
    </w:p>
    <w:p>
      <w:pPr>
        <w:pStyle w:val="3"/>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hint="eastAsia" w:ascii="方正仿宋_GBK" w:hAnsi="宋体" w:eastAsia="方正仿宋_GBK"/>
          <w:b/>
          <w:bCs/>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jc w:val="left"/>
        <w:rPr>
          <w:rFonts w:ascii="方正仿宋_GBK" w:hAnsi="宋体" w:eastAsia="方正仿宋_GBK" w:cs="Times New Roman"/>
          <w:color w:val="auto"/>
          <w:sz w:val="24"/>
          <w:szCs w:val="24"/>
        </w:rPr>
      </w:pP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）凡有意参加的供应商，请于2022年</w:t>
      </w:r>
      <w:r>
        <w:rPr>
          <w:rFonts w:hint="eastAsia" w:ascii="方正仿宋_GBK" w:hAnsi="宋体" w:eastAsia="方正仿宋_GBK"/>
          <w:color w:val="auto"/>
          <w:sz w:val="24"/>
          <w:szCs w:val="24"/>
          <w:highlight w:val="none"/>
          <w:lang w:val="en-US" w:eastAsia="zh-CN"/>
        </w:rPr>
        <w:t>11</w:t>
      </w:r>
      <w:r>
        <w:rPr>
          <w:rFonts w:hint="eastAsia" w:ascii="方正仿宋_GBK" w:hAnsi="宋体" w:eastAsia="方正仿宋_GBK"/>
          <w:color w:val="auto"/>
          <w:sz w:val="24"/>
          <w:szCs w:val="24"/>
          <w:highlight w:val="none"/>
        </w:rPr>
        <w:t>月</w:t>
      </w:r>
      <w:r>
        <w:rPr>
          <w:rFonts w:hint="eastAsia" w:ascii="方正仿宋_GBK" w:hAnsi="宋体" w:eastAsia="方正仿宋_GBK"/>
          <w:color w:val="auto"/>
          <w:sz w:val="24"/>
          <w:szCs w:val="24"/>
          <w:highlight w:val="none"/>
          <w:lang w:val="en-US" w:eastAsia="zh-CN"/>
        </w:rPr>
        <w:t>10</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14</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0时至2022年</w:t>
      </w:r>
      <w:r>
        <w:rPr>
          <w:rFonts w:hint="eastAsia" w:ascii="方正仿宋_GBK" w:hAnsi="宋体" w:eastAsia="方正仿宋_GBK"/>
          <w:color w:val="auto"/>
          <w:sz w:val="24"/>
          <w:szCs w:val="24"/>
          <w:lang w:val="en-US" w:eastAsia="zh-CN"/>
        </w:rPr>
        <w:t>11</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15</w:t>
      </w:r>
      <w:r>
        <w:rPr>
          <w:rFonts w:hint="eastAsia" w:ascii="方正仿宋_GBK" w:hAnsi="宋体" w:eastAsia="方正仿宋_GBK"/>
          <w:color w:val="auto"/>
          <w:sz w:val="24"/>
          <w:szCs w:val="24"/>
        </w:rPr>
        <w:t>日1</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0时（法定公休日、法定节假日除外）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b/>
          <w:bCs/>
          <w:color w:val="auto"/>
          <w:sz w:val="24"/>
          <w:szCs w:val="24"/>
          <w:lang w:eastAsia="zh-CN"/>
        </w:rPr>
        <w:t>详见后续官网公告。</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b/>
          <w:bCs/>
          <w:color w:val="auto"/>
          <w:sz w:val="24"/>
          <w:szCs w:val="24"/>
          <w:lang w:eastAsia="zh-CN"/>
        </w:rPr>
        <w:t>详见后续官网公告。</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b/>
          <w:bCs/>
          <w:color w:val="auto"/>
          <w:sz w:val="24"/>
          <w:szCs w:val="24"/>
          <w:lang w:eastAsia="zh-CN"/>
        </w:rPr>
        <w:t>详见后续官网公告。</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373860294"/>
      <w:bookmarkStart w:id="24" w:name="_Toc54171062"/>
      <w:bookmarkStart w:id="25" w:name="_Toc54718176"/>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未线上报名的，其响应文件恕不接收，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2183"/>
      <w:bookmarkStart w:id="29" w:name="_Toc96605950"/>
      <w:r>
        <w:rPr>
          <w:rFonts w:hint="eastAsia" w:ascii="微软雅黑" w:hAnsi="微软雅黑" w:eastAsia="微软雅黑" w:cs="微软雅黑"/>
          <w:color w:val="auto"/>
          <w:sz w:val="24"/>
          <w:szCs w:val="24"/>
        </w:rPr>
        <w:t>七、防疫要求</w:t>
      </w:r>
      <w:bookmarkEnd w:id="28"/>
      <w:bookmarkEnd w:id="29"/>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关于加强交易现场疫情防控工作的通知</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按照永川区政府关于当前疫情防控相关工作要求，重庆医科大学附属永川医院将加强现场疫情防控管理，现通知如下：</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（二）所有来自或途径中（高）风险区所在城市的来永返永人员，需持48小时内核酸检测阴性证明。若无法提供的，将不能进入医院，产生的一切后果自负。</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（三）请各进入医院人员和单位务必提前详细了解我区疫情防控具体要求，若不符合防控要求，将不能入场参与交易活动，请自行评估后果，合理安排人员参与相关活动。</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（四）由于区域疫情防控政策动态调整，请及时关注最新政策发布情况。如不清楚防控要求，请于采购前致电重庆医科大学附属永川医院采购办询问，咨询电话：85385105</w:t>
      </w:r>
      <w:bookmarkStart w:id="30" w:name="_Toc31390"/>
    </w:p>
    <w:p>
      <w:pPr>
        <w:pStyle w:val="3"/>
        <w:spacing w:line="240" w:lineRule="auto"/>
        <w:rPr>
          <w:rFonts w:hint="eastAsia" w:ascii="微软雅黑" w:hAnsi="微软雅黑" w:eastAsia="微软雅黑" w:cs="微软雅黑"/>
          <w:color w:val="auto"/>
          <w:sz w:val="24"/>
          <w:szCs w:val="24"/>
        </w:rPr>
      </w:pPr>
      <w:bookmarkStart w:id="31" w:name="_Toc9130"/>
      <w:r>
        <w:rPr>
          <w:rFonts w:hint="eastAsia" w:ascii="微软雅黑" w:hAnsi="微软雅黑" w:eastAsia="微软雅黑" w:cs="微软雅黑"/>
          <w:color w:val="auto"/>
          <w:sz w:val="24"/>
          <w:szCs w:val="24"/>
        </w:rPr>
        <w:t>八、联系方式</w:t>
      </w:r>
      <w:bookmarkEnd w:id="30"/>
      <w:bookmarkEnd w:id="31"/>
    </w:p>
    <w:bookmarkEnd w:id="18"/>
    <w:bookmarkEnd w:id="19"/>
    <w:p>
      <w:pPr>
        <w:ind w:firstLine="480" w:firstLineChars="200"/>
        <w:jc w:val="left"/>
        <w:rPr>
          <w:rFonts w:ascii="方正仿宋_GBK" w:hAnsi="宋体" w:eastAsia="方正仿宋_GBK" w:cs="Times New Roman"/>
          <w:color w:val="auto"/>
          <w:sz w:val="24"/>
          <w:szCs w:val="24"/>
        </w:rPr>
      </w:pPr>
      <w:bookmarkStart w:id="32"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2"/>
    <w:p>
      <w:pPr>
        <w:rPr>
          <w:rFonts w:hint="eastAsia"/>
          <w:color w:val="auto"/>
        </w:rPr>
      </w:pPr>
    </w:p>
    <w:p>
      <w:pPr>
        <w:rPr>
          <w:rFonts w:hint="eastAsia"/>
          <w:color w:val="auto"/>
        </w:rPr>
      </w:pPr>
    </w:p>
    <w:p>
      <w:pPr>
        <w:pStyle w:val="2"/>
        <w:bidi w:val="0"/>
        <w:jc w:val="center"/>
        <w:rPr>
          <w:rFonts w:hint="eastAsia"/>
          <w:b/>
          <w:color w:val="auto"/>
        </w:rPr>
      </w:pPr>
      <w:bookmarkStart w:id="33" w:name="_Toc22321"/>
      <w:r>
        <w:rPr>
          <w:rFonts w:hint="eastAsia" w:ascii="微软雅黑" w:hAnsi="微软雅黑" w:eastAsia="微软雅黑" w:cs="微软雅黑"/>
          <w:b/>
          <w:bCs/>
          <w:color w:val="auto"/>
          <w:sz w:val="36"/>
          <w:szCs w:val="36"/>
        </w:rPr>
        <w:t>第二篇 供应商须知</w:t>
      </w:r>
      <w:bookmarkEnd w:id="33"/>
    </w:p>
    <w:p>
      <w:pPr>
        <w:pStyle w:val="3"/>
        <w:bidi w:val="0"/>
        <w:rPr>
          <w:rFonts w:hint="eastAsia" w:ascii="微软雅黑" w:hAnsi="微软雅黑" w:eastAsia="微软雅黑" w:cs="微软雅黑"/>
          <w:color w:val="auto"/>
          <w:sz w:val="24"/>
          <w:szCs w:val="24"/>
        </w:rPr>
      </w:pPr>
      <w:bookmarkStart w:id="34" w:name="_Toc11386"/>
      <w:r>
        <w:rPr>
          <w:rFonts w:hint="eastAsia" w:ascii="微软雅黑" w:hAnsi="微软雅黑" w:eastAsia="微软雅黑" w:cs="微软雅黑"/>
          <w:color w:val="auto"/>
          <w:sz w:val="24"/>
          <w:szCs w:val="24"/>
        </w:rPr>
        <w:t>一、比选费用</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5" w:name="_Toc8430"/>
      <w:r>
        <w:rPr>
          <w:rFonts w:hint="eastAsia" w:ascii="微软雅黑" w:hAnsi="微软雅黑" w:eastAsia="微软雅黑" w:cs="微软雅黑"/>
          <w:color w:val="auto"/>
          <w:sz w:val="24"/>
          <w:szCs w:val="24"/>
        </w:rPr>
        <w:t>二、比选文件</w:t>
      </w:r>
      <w:bookmarkEnd w:id="35"/>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6" w:name="_Toc23254"/>
      <w:r>
        <w:rPr>
          <w:rFonts w:hint="eastAsia" w:ascii="微软雅黑" w:hAnsi="微软雅黑" w:eastAsia="微软雅黑" w:cs="微软雅黑"/>
          <w:color w:val="auto"/>
          <w:sz w:val="24"/>
          <w:szCs w:val="24"/>
        </w:rPr>
        <w:t>三、比选要求</w:t>
      </w:r>
      <w:bookmarkEnd w:id="36"/>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方根据勘查现场后进行分项报价（报价表见附件），勘查现场联系人：杨老师，电话：13594380905。</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报价包含但不限于货款、安装费、调试费、人工费、税金、管理费等所有费用，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（三）修正错误</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7" w:name="OLE_LINK8"/>
      <w:bookmarkStart w:id="38" w:name="OLE_LINK9"/>
      <w:bookmarkStart w:id="39"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本项目比选采用视频会议，</w:t>
      </w:r>
      <w:r>
        <w:rPr>
          <w:rFonts w:hint="eastAsia" w:ascii="方正仿宋_GBK" w:hAnsi="宋体" w:eastAsia="方正仿宋_GBK" w:cs="Times New Roman"/>
          <w:color w:val="auto"/>
          <w:sz w:val="24"/>
          <w:szCs w:val="24"/>
        </w:rPr>
        <w:t>各个供应商可</w:t>
      </w:r>
      <w:r>
        <w:rPr>
          <w:rFonts w:hint="eastAsia" w:ascii="方正仿宋_GBK" w:hAnsi="宋体" w:eastAsia="方正仿宋_GBK" w:cs="Times New Roman"/>
          <w:color w:val="auto"/>
          <w:sz w:val="24"/>
          <w:szCs w:val="24"/>
          <w:lang w:eastAsia="zh-CN"/>
        </w:rPr>
        <w:t>指定</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名代表</w:t>
      </w:r>
      <w:r>
        <w:rPr>
          <w:rFonts w:hint="eastAsia" w:ascii="方正仿宋_GBK" w:hAnsi="宋体" w:eastAsia="方正仿宋_GBK" w:cs="Times New Roman"/>
          <w:color w:val="auto"/>
          <w:sz w:val="24"/>
          <w:szCs w:val="24"/>
          <w:lang w:eastAsia="zh-CN"/>
        </w:rPr>
        <w:t>通过视频会议参与</w:t>
      </w:r>
      <w:r>
        <w:rPr>
          <w:rFonts w:hint="eastAsia" w:ascii="方正仿宋_GBK" w:hAnsi="宋体" w:eastAsia="方正仿宋_GBK" w:cs="Times New Roman"/>
          <w:color w:val="auto"/>
          <w:sz w:val="24"/>
          <w:szCs w:val="24"/>
        </w:rPr>
        <w:t>参与比选</w:t>
      </w:r>
      <w:r>
        <w:rPr>
          <w:rFonts w:hint="eastAsia" w:ascii="仿宋" w:hAnsi="仿宋" w:eastAsia="仿宋" w:cs="仿宋"/>
          <w:b/>
          <w:bCs/>
          <w:color w:val="auto"/>
          <w:sz w:val="24"/>
        </w:rPr>
        <w:t>。</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1.不符合规定的基本资格条件或特定资格条件；</w:t>
      </w:r>
    </w:p>
    <w:p>
      <w:pPr>
        <w:snapToGrid w:val="0"/>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2.法定代表人或其授权代表未参加比选；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3.响应文件不按规定签字、盖章；</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4、供应商的报价超过采购</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总价限价或单价限价；</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5、供应商的最后报价超过采购预算；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9、同一合同项下的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，制造商参与比选的，再委托代理商参与比选的；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10、供应商以联合体形式参与比选的；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37"/>
    <w:bookmarkEnd w:id="38"/>
    <w:bookmarkEnd w:id="39"/>
    <w:p>
      <w:pPr>
        <w:pStyle w:val="3"/>
        <w:spacing w:line="240" w:lineRule="auto"/>
        <w:rPr>
          <w:rFonts w:hint="eastAsia" w:ascii="微软雅黑" w:hAnsi="微软雅黑" w:eastAsia="微软雅黑" w:cs="微软雅黑"/>
          <w:color w:val="auto"/>
          <w:sz w:val="24"/>
          <w:szCs w:val="24"/>
        </w:rPr>
      </w:pPr>
      <w:bookmarkStart w:id="40" w:name="_Toc179714298"/>
      <w:bookmarkStart w:id="41" w:name="_Toc102227319"/>
      <w:bookmarkStart w:id="42" w:name="_Toc403569780"/>
      <w:bookmarkStart w:id="43" w:name="_Toc18122"/>
      <w:bookmarkStart w:id="44" w:name="_Toc19143"/>
      <w:bookmarkStart w:id="45" w:name="_Toc342913393"/>
      <w:r>
        <w:rPr>
          <w:rFonts w:hint="eastAsia" w:ascii="微软雅黑" w:hAnsi="微软雅黑" w:eastAsia="微软雅黑" w:cs="微软雅黑"/>
          <w:color w:val="auto"/>
          <w:sz w:val="24"/>
          <w:szCs w:val="24"/>
        </w:rPr>
        <w:t>四、比选程序</w:t>
      </w:r>
      <w:bookmarkEnd w:id="40"/>
      <w:bookmarkEnd w:id="41"/>
      <w:bookmarkEnd w:id="42"/>
      <w:bookmarkEnd w:id="43"/>
      <w:bookmarkEnd w:id="44"/>
      <w:bookmarkEnd w:id="45"/>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6" w:name="_Toc14247"/>
      <w:bookmarkStart w:id="47" w:name="_Toc28776"/>
      <w:bookmarkStart w:id="48" w:name="_Toc403569781"/>
      <w:bookmarkStart w:id="49" w:name="_Toc102227320"/>
      <w:bookmarkStart w:id="50" w:name="_Toc342913394"/>
      <w:r>
        <w:rPr>
          <w:rFonts w:hint="eastAsia" w:ascii="微软雅黑" w:hAnsi="微软雅黑" w:eastAsia="微软雅黑" w:cs="微软雅黑"/>
          <w:color w:val="auto"/>
          <w:sz w:val="24"/>
          <w:szCs w:val="24"/>
        </w:rPr>
        <w:t>五、评审依据</w:t>
      </w:r>
      <w:bookmarkEnd w:id="46"/>
      <w:bookmarkEnd w:id="47"/>
      <w:bookmarkEnd w:id="48"/>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51" w:name="_Toc14816"/>
      <w:bookmarkStart w:id="52" w:name="_Toc29340"/>
      <w:bookmarkStart w:id="53" w:name="_Toc403569782"/>
      <w:r>
        <w:rPr>
          <w:rFonts w:hint="eastAsia" w:ascii="微软雅黑" w:hAnsi="微软雅黑" w:eastAsia="微软雅黑" w:cs="微软雅黑"/>
          <w:color w:val="auto"/>
          <w:sz w:val="24"/>
          <w:szCs w:val="24"/>
        </w:rPr>
        <w:t>六、成交</w:t>
      </w:r>
      <w:bookmarkEnd w:id="49"/>
      <w:r>
        <w:rPr>
          <w:rFonts w:hint="eastAsia" w:ascii="微软雅黑" w:hAnsi="微软雅黑" w:eastAsia="微软雅黑" w:cs="微软雅黑"/>
          <w:color w:val="auto"/>
          <w:sz w:val="24"/>
          <w:szCs w:val="24"/>
        </w:rPr>
        <w:t>原则</w:t>
      </w:r>
      <w:bookmarkEnd w:id="50"/>
      <w:bookmarkEnd w:id="51"/>
      <w:bookmarkEnd w:id="52"/>
      <w:bookmarkEnd w:id="53"/>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在采购过程中符合竞争要求的供应商或者报价未超过采购预算的供应商不足3家的，</w:t>
      </w:r>
      <w:r>
        <w:rPr>
          <w:rFonts w:hint="eastAsia" w:ascii="方正仿宋_GBK" w:hAnsi="宋体" w:eastAsia="方正仿宋_GBK"/>
          <w:color w:val="auto"/>
          <w:sz w:val="24"/>
          <w:szCs w:val="24"/>
        </w:rPr>
        <w:t>但《医院采购管理办法（试行）》第二十三条第一款（五）规定的情形除外。</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54" w:name="_Toc3212"/>
      <w:bookmarkStart w:id="55" w:name="_Toc342913395"/>
      <w:bookmarkStart w:id="56" w:name="_Toc403569783"/>
      <w:bookmarkStart w:id="57" w:name="_Toc7135"/>
      <w:bookmarkStart w:id="58" w:name="_Toc102227321"/>
      <w:r>
        <w:rPr>
          <w:rFonts w:hint="eastAsia" w:ascii="微软雅黑" w:hAnsi="微软雅黑" w:eastAsia="微软雅黑" w:cs="微软雅黑"/>
          <w:color w:val="auto"/>
          <w:sz w:val="24"/>
          <w:szCs w:val="24"/>
        </w:rPr>
        <w:t>七、成交通知</w:t>
      </w:r>
      <w:bookmarkEnd w:id="54"/>
      <w:bookmarkEnd w:id="55"/>
      <w:bookmarkEnd w:id="56"/>
      <w:bookmarkEnd w:id="57"/>
      <w:bookmarkEnd w:id="58"/>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9" w:name="_Toc17413"/>
      <w:bookmarkStart w:id="60" w:name="_Toc403569784"/>
      <w:bookmarkStart w:id="61" w:name="_Toc12880"/>
      <w:r>
        <w:rPr>
          <w:rFonts w:hint="eastAsia" w:ascii="微软雅黑" w:hAnsi="微软雅黑" w:eastAsia="微软雅黑" w:cs="微软雅黑"/>
          <w:color w:val="auto"/>
          <w:sz w:val="24"/>
          <w:szCs w:val="24"/>
        </w:rPr>
        <w:t>八、关于质疑和投诉</w:t>
      </w:r>
      <w:bookmarkEnd w:id="59"/>
      <w:bookmarkEnd w:id="60"/>
      <w:bookmarkEnd w:id="61"/>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2" w:name="_Toc102227322"/>
      <w:bookmarkStart w:id="63" w:name="_Toc403569785"/>
      <w:bookmarkStart w:id="64" w:name="_Toc6381"/>
      <w:bookmarkStart w:id="65"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6" w:name="_Toc5728"/>
      <w:r>
        <w:rPr>
          <w:rFonts w:hint="eastAsia" w:ascii="微软雅黑" w:hAnsi="微软雅黑" w:eastAsia="微软雅黑" w:cs="微软雅黑"/>
          <w:color w:val="auto"/>
          <w:sz w:val="24"/>
          <w:szCs w:val="24"/>
        </w:rPr>
        <w:t>九、签订</w:t>
      </w:r>
      <w:bookmarkEnd w:id="62"/>
      <w:r>
        <w:rPr>
          <w:rFonts w:hint="eastAsia" w:ascii="微软雅黑" w:hAnsi="微软雅黑" w:eastAsia="微软雅黑" w:cs="微软雅黑"/>
          <w:color w:val="auto"/>
          <w:sz w:val="24"/>
          <w:szCs w:val="24"/>
        </w:rPr>
        <w:t>合同</w:t>
      </w:r>
      <w:bookmarkEnd w:id="63"/>
      <w:bookmarkEnd w:id="64"/>
      <w:bookmarkEnd w:id="65"/>
      <w:bookmarkEnd w:id="6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pStyle w:val="3"/>
        <w:spacing w:line="240" w:lineRule="auto"/>
        <w:rPr>
          <w:rFonts w:hint="eastAsia" w:ascii="微软雅黑" w:hAnsi="微软雅黑" w:eastAsia="微软雅黑" w:cs="微软雅黑"/>
          <w:color w:val="auto"/>
          <w:sz w:val="24"/>
          <w:szCs w:val="24"/>
        </w:rPr>
      </w:pPr>
      <w:bookmarkStart w:id="67" w:name="_Toc29479"/>
      <w:bookmarkStart w:id="68" w:name="_Toc15659"/>
      <w:bookmarkStart w:id="69" w:name="_Toc7675"/>
      <w:r>
        <w:rPr>
          <w:rFonts w:hint="eastAsia" w:ascii="微软雅黑" w:hAnsi="微软雅黑" w:eastAsia="微软雅黑" w:cs="微软雅黑"/>
          <w:color w:val="auto"/>
          <w:sz w:val="24"/>
          <w:szCs w:val="24"/>
        </w:rPr>
        <w:t>十、其他</w:t>
      </w:r>
      <w:bookmarkEnd w:id="67"/>
      <w:bookmarkEnd w:id="68"/>
      <w:bookmarkEnd w:id="6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pacing w:line="390" w:lineRule="exact"/>
        <w:rPr>
          <w:rFonts w:ascii="方正仿宋_GBK" w:hAnsi="宋体" w:eastAsia="方正仿宋_GBK" w:cs="Times New Roman"/>
          <w:b/>
          <w:color w:val="auto"/>
          <w:sz w:val="24"/>
          <w:szCs w:val="24"/>
        </w:rPr>
      </w:pPr>
    </w:p>
    <w:p>
      <w:pPr>
        <w:spacing w:line="390" w:lineRule="exact"/>
        <w:rPr>
          <w:rFonts w:ascii="方正仿宋_GBK" w:hAnsi="宋体" w:eastAsia="方正仿宋_GBK" w:cs="Times New Roman"/>
          <w:b/>
          <w:color w:val="auto"/>
          <w:sz w:val="24"/>
          <w:szCs w:val="24"/>
        </w:rPr>
      </w:pPr>
    </w:p>
    <w:p>
      <w:pPr>
        <w:pStyle w:val="2"/>
        <w:jc w:val="center"/>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70" w:name="_Toc485108784"/>
      <w:bookmarkStart w:id="71" w:name="_Toc11770"/>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70"/>
      <w:bookmarkEnd w:id="71"/>
    </w:p>
    <w:p>
      <w:pPr>
        <w:rPr>
          <w:rFonts w:ascii="Times New Roman" w:hAnsi="Times New Roman" w:eastAsia="宋体" w:cs="Times New Roman"/>
          <w:color w:val="auto"/>
          <w:sz w:val="28"/>
          <w:szCs w:val="20"/>
        </w:rPr>
      </w:pPr>
    </w:p>
    <w:p>
      <w:pPr>
        <w:pStyle w:val="3"/>
        <w:spacing w:line="240" w:lineRule="auto"/>
        <w:rPr>
          <w:rFonts w:hint="eastAsia" w:ascii="微软雅黑" w:hAnsi="微软雅黑" w:eastAsia="微软雅黑" w:cs="微软雅黑"/>
          <w:color w:val="auto"/>
          <w:sz w:val="24"/>
          <w:szCs w:val="24"/>
        </w:rPr>
      </w:pPr>
      <w:bookmarkStart w:id="72" w:name="_Toc485108785"/>
      <w:bookmarkStart w:id="73" w:name="_Toc766"/>
      <w:bookmarkStart w:id="74" w:name="_Toc12789058"/>
      <w:r>
        <w:rPr>
          <w:rFonts w:hint="eastAsia" w:ascii="微软雅黑" w:hAnsi="微软雅黑" w:eastAsia="微软雅黑" w:cs="微软雅黑"/>
          <w:color w:val="auto"/>
          <w:sz w:val="24"/>
          <w:szCs w:val="24"/>
        </w:rPr>
        <w:t>一、</w:t>
      </w:r>
      <w:bookmarkEnd w:id="72"/>
      <w:r>
        <w:rPr>
          <w:rFonts w:hint="eastAsia" w:ascii="微软雅黑" w:hAnsi="微软雅黑" w:eastAsia="微软雅黑" w:cs="微软雅黑"/>
          <w:color w:val="auto"/>
          <w:sz w:val="24"/>
          <w:szCs w:val="24"/>
        </w:rPr>
        <w:t>项目一览表</w:t>
      </w:r>
      <w:bookmarkEnd w:id="73"/>
    </w:p>
    <w:tbl>
      <w:tblPr>
        <w:tblStyle w:val="58"/>
        <w:tblW w:w="8647" w:type="dxa"/>
        <w:tblInd w:w="534" w:type="dxa"/>
        <w:tblLayout w:type="fixed"/>
        <w:tblCellMar>
          <w:top w:w="0" w:type="dxa"/>
          <w:left w:w="108" w:type="dxa"/>
          <w:bottom w:w="0" w:type="dxa"/>
          <w:right w:w="108" w:type="dxa"/>
        </w:tblCellMar>
      </w:tblPr>
      <w:tblGrid>
        <w:gridCol w:w="3415"/>
        <w:gridCol w:w="2832"/>
        <w:gridCol w:w="2400"/>
      </w:tblGrid>
      <w:tr>
        <w:tblPrEx>
          <w:tblCellMar>
            <w:top w:w="0" w:type="dxa"/>
            <w:left w:w="108" w:type="dxa"/>
            <w:bottom w:w="0" w:type="dxa"/>
            <w:right w:w="108" w:type="dxa"/>
          </w:tblCellMar>
        </w:tblPrEx>
        <w:tc>
          <w:tcPr>
            <w:tcW w:w="3415"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项目名称</w:t>
            </w:r>
          </w:p>
        </w:tc>
        <w:tc>
          <w:tcPr>
            <w:tcW w:w="2832"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eastAsia" w:ascii="方正仿宋_GBK" w:hAnsi="仿宋" w:eastAsia="方正仿宋_GBK" w:cs="仿宋"/>
                <w:color w:val="auto"/>
                <w:sz w:val="24"/>
                <w:szCs w:val="24"/>
                <w:lang w:eastAsia="zh-CN"/>
              </w:rPr>
            </w:pPr>
            <w:r>
              <w:rPr>
                <w:rFonts w:hint="eastAsia" w:ascii="方正仿宋_GBK" w:hAnsi="仿宋" w:eastAsia="方正仿宋_GBK" w:cs="仿宋"/>
                <w:color w:val="auto"/>
                <w:sz w:val="24"/>
                <w:szCs w:val="24"/>
              </w:rPr>
              <w:t>成交供应商数量</w:t>
            </w:r>
            <w:r>
              <w:rPr>
                <w:rFonts w:hint="eastAsia" w:ascii="方正仿宋_GBK" w:hAnsi="仿宋" w:eastAsia="方正仿宋_GBK" w:cs="仿宋"/>
                <w:color w:val="auto"/>
                <w:sz w:val="24"/>
                <w:szCs w:val="24"/>
                <w:lang w:eastAsia="zh-CN"/>
              </w:rPr>
              <w:t>（名）</w:t>
            </w:r>
          </w:p>
        </w:tc>
        <w:tc>
          <w:tcPr>
            <w:tcW w:w="240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备注</w:t>
            </w:r>
          </w:p>
        </w:tc>
      </w:tr>
      <w:tr>
        <w:tblPrEx>
          <w:tblCellMar>
            <w:top w:w="0" w:type="dxa"/>
            <w:left w:w="108" w:type="dxa"/>
            <w:bottom w:w="0" w:type="dxa"/>
            <w:right w:w="108" w:type="dxa"/>
          </w:tblCellMar>
        </w:tblPrEx>
        <w:tc>
          <w:tcPr>
            <w:tcW w:w="3415"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s="仿宋"/>
                <w:color w:val="auto"/>
                <w:sz w:val="24"/>
                <w:szCs w:val="24"/>
              </w:rPr>
            </w:pPr>
            <w:r>
              <w:rPr>
                <w:rFonts w:hint="eastAsia" w:ascii="方正仿宋_GBK" w:hAnsi="宋体" w:eastAsia="方正仿宋_GBK"/>
                <w:color w:val="auto"/>
                <w:szCs w:val="21"/>
                <w:lang w:val="en-US" w:eastAsia="zh-CN"/>
              </w:rPr>
              <w:t>保安负荷应急电源改造服务</w:t>
            </w:r>
          </w:p>
        </w:tc>
        <w:tc>
          <w:tcPr>
            <w:tcW w:w="2832"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1</w:t>
            </w:r>
          </w:p>
        </w:tc>
        <w:tc>
          <w:tcPr>
            <w:tcW w:w="240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r>
              <w:rPr>
                <w:rFonts w:hint="eastAsia" w:ascii="方正仿宋_GBK" w:hAnsi="宋体" w:eastAsia="方正仿宋_GBK"/>
                <w:color w:val="auto"/>
                <w:szCs w:val="21"/>
                <w:lang w:val="en-US" w:eastAsia="zh-CN"/>
              </w:rPr>
              <w:t>材料清单详见附件</w:t>
            </w:r>
          </w:p>
        </w:tc>
      </w:tr>
    </w:tbl>
    <w:p>
      <w:pPr>
        <w:ind w:firstLine="480" w:firstLineChars="200"/>
        <w:rPr>
          <w:rFonts w:ascii="方正仿宋_GBK" w:hAnsi="仿宋" w:eastAsia="方正仿宋_GBK" w:cs="仿宋"/>
          <w:color w:val="auto"/>
          <w:sz w:val="24"/>
          <w:szCs w:val="24"/>
        </w:rPr>
      </w:pPr>
    </w:p>
    <w:p>
      <w:pPr>
        <w:pStyle w:val="3"/>
        <w:spacing w:line="240" w:lineRule="auto"/>
        <w:rPr>
          <w:rFonts w:hint="eastAsia" w:ascii="微软雅黑" w:hAnsi="微软雅黑" w:eastAsia="微软雅黑" w:cs="微软雅黑"/>
          <w:color w:val="auto"/>
          <w:sz w:val="24"/>
          <w:szCs w:val="24"/>
        </w:rPr>
      </w:pPr>
      <w:bookmarkStart w:id="75" w:name="_Toc485108786"/>
      <w:bookmarkStart w:id="76" w:name="_Toc18590"/>
      <w:r>
        <w:rPr>
          <w:rFonts w:hint="eastAsia" w:ascii="微软雅黑" w:hAnsi="微软雅黑" w:eastAsia="微软雅黑" w:cs="微软雅黑"/>
          <w:color w:val="auto"/>
          <w:sz w:val="24"/>
          <w:szCs w:val="24"/>
        </w:rPr>
        <w:t>二、服务要求</w:t>
      </w:r>
      <w:bookmarkEnd w:id="75"/>
      <w:bookmarkEnd w:id="76"/>
    </w:p>
    <w:p>
      <w:pPr>
        <w:spacing w:line="400" w:lineRule="exact"/>
        <w:ind w:firstLine="480" w:firstLineChars="200"/>
        <w:jc w:val="left"/>
        <w:outlineLvl w:val="2"/>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服务方需在签订合同后25天内完成采购方消防水泵设备和手术室手术间以及空气净化机组应急电源的所有改造工作（采购方的工作影响因素除外），并完成调试，保证正常运行。</w:t>
      </w:r>
    </w:p>
    <w:p>
      <w:pPr>
        <w:spacing w:line="400" w:lineRule="exact"/>
        <w:ind w:firstLine="480" w:firstLineChars="200"/>
        <w:jc w:val="left"/>
        <w:outlineLvl w:val="2"/>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（二）</w:t>
      </w:r>
      <w:r>
        <w:rPr>
          <w:rFonts w:hint="eastAsia" w:ascii="方正仿宋_GBK" w:hAnsi="宋体" w:eastAsia="方正仿宋_GBK" w:cs="Times New Roman"/>
          <w:color w:val="auto"/>
          <w:sz w:val="24"/>
          <w:szCs w:val="24"/>
        </w:rPr>
        <w:t>服务方应</w:t>
      </w:r>
      <w:r>
        <w:rPr>
          <w:rFonts w:hint="eastAsia" w:ascii="方正仿宋_GBK" w:hAnsi="宋体" w:eastAsia="方正仿宋_GBK" w:cs="Times New Roman"/>
          <w:b/>
          <w:bCs/>
          <w:color w:val="auto"/>
          <w:sz w:val="24"/>
          <w:szCs w:val="24"/>
        </w:rPr>
        <w:t>编制可靠的改造方案</w:t>
      </w:r>
      <w:r>
        <w:rPr>
          <w:rFonts w:hint="eastAsia" w:ascii="方正仿宋_GBK" w:hAnsi="宋体" w:eastAsia="方正仿宋_GBK" w:cs="Times New Roman"/>
          <w:color w:val="auto"/>
          <w:sz w:val="24"/>
          <w:szCs w:val="24"/>
        </w:rPr>
        <w:t>，具有科学性和可操作性，且符合医院运行需求，严格按照电力操作流程实施改造。</w:t>
      </w:r>
    </w:p>
    <w:p>
      <w:pPr>
        <w:spacing w:line="400" w:lineRule="exact"/>
        <w:ind w:firstLine="480" w:firstLineChars="200"/>
        <w:jc w:val="left"/>
        <w:outlineLvl w:val="2"/>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改造时间段须按照采购方要求进行，不得影响正常医疗工作。</w:t>
      </w:r>
    </w:p>
    <w:p>
      <w:pPr>
        <w:spacing w:line="400" w:lineRule="exact"/>
        <w:ind w:firstLine="480" w:firstLineChars="200"/>
        <w:jc w:val="left"/>
        <w:outlineLvl w:val="2"/>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施工人员须具备相应的从业资质，开展各项工作须符合国家及行业的相关标准、规程及要求。作业时需佩戴相应安全防护用品。</w:t>
      </w:r>
    </w:p>
    <w:p>
      <w:pPr>
        <w:spacing w:line="400" w:lineRule="exact"/>
        <w:ind w:firstLine="480" w:firstLineChars="200"/>
        <w:jc w:val="left"/>
        <w:outlineLvl w:val="2"/>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（五）</w:t>
      </w:r>
      <w:r>
        <w:rPr>
          <w:rFonts w:hint="eastAsia" w:ascii="方正仿宋_GBK" w:hAnsi="宋体" w:eastAsia="方正仿宋_GBK" w:cs="Times New Roman"/>
          <w:color w:val="auto"/>
          <w:sz w:val="24"/>
          <w:szCs w:val="24"/>
        </w:rPr>
        <w:t>在施工过程中，服务方应采取有效的安全措施，保证施工人员和其他人员的人身安全，并承担因安全事故导致的一切经济和法律责任。如有损坏财产须照价赔偿。</w:t>
      </w: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keepNext/>
        <w:keepLines/>
        <w:spacing w:line="400" w:lineRule="exact"/>
        <w:outlineLvl w:val="2"/>
        <w:rPr>
          <w:rFonts w:hint="eastAsia" w:ascii="方正仿宋_GBK" w:hAnsi="宋体" w:eastAsia="方正仿宋_GBK" w:cs="Times New Roman"/>
          <w:color w:val="auto"/>
          <w:sz w:val="24"/>
          <w:szCs w:val="24"/>
        </w:rPr>
      </w:pPr>
    </w:p>
    <w:p>
      <w:pPr>
        <w:pStyle w:val="2"/>
        <w:jc w:val="center"/>
        <w:rPr>
          <w:b/>
          <w:color w:val="auto"/>
          <w:sz w:val="44"/>
          <w:szCs w:val="44"/>
        </w:rPr>
      </w:pPr>
      <w:bookmarkStart w:id="77" w:name="_Toc28327"/>
      <w:bookmarkStart w:id="78" w:name="_Toc485108787"/>
      <w:r>
        <w:rPr>
          <w:rFonts w:hint="eastAsia" w:ascii="微软雅黑" w:hAnsi="微软雅黑" w:eastAsia="微软雅黑" w:cs="微软雅黑"/>
          <w:b/>
          <w:color w:val="auto"/>
          <w:sz w:val="36"/>
          <w:szCs w:val="36"/>
        </w:rPr>
        <w:t>第四篇  项目商务需求</w:t>
      </w:r>
      <w:bookmarkEnd w:id="74"/>
      <w:bookmarkEnd w:id="77"/>
      <w:bookmarkEnd w:id="78"/>
      <w:bookmarkStart w:id="79" w:name="_Toc11641055"/>
      <w:bookmarkStart w:id="80" w:name="_Toc12789059"/>
    </w:p>
    <w:p>
      <w:pPr>
        <w:pStyle w:val="3"/>
        <w:spacing w:line="240" w:lineRule="auto"/>
        <w:rPr>
          <w:rFonts w:hint="eastAsia" w:ascii="微软雅黑" w:hAnsi="微软雅黑" w:eastAsia="微软雅黑" w:cs="微软雅黑"/>
          <w:color w:val="auto"/>
          <w:sz w:val="24"/>
          <w:szCs w:val="24"/>
        </w:rPr>
      </w:pPr>
      <w:bookmarkStart w:id="81" w:name="_Toc485108788"/>
      <w:bookmarkStart w:id="82" w:name="_Toc2302"/>
      <w:bookmarkStart w:id="83" w:name="_Toc344475121"/>
      <w:r>
        <w:rPr>
          <w:rFonts w:hint="eastAsia" w:ascii="微软雅黑" w:hAnsi="微软雅黑" w:eastAsia="微软雅黑" w:cs="微软雅黑"/>
          <w:color w:val="auto"/>
          <w:sz w:val="24"/>
          <w:szCs w:val="24"/>
        </w:rPr>
        <w:t>一、服务时间、地点及验收方式</w:t>
      </w:r>
      <w:bookmarkEnd w:id="81"/>
      <w:bookmarkEnd w:id="82"/>
    </w:p>
    <w:p>
      <w:pPr>
        <w:spacing w:line="360" w:lineRule="auto"/>
        <w:ind w:firstLine="564" w:firstLineChars="235"/>
        <w:rPr>
          <w:rFonts w:ascii="仿宋" w:hAnsi="仿宋" w:eastAsia="仿宋" w:cs="仿宋"/>
          <w:color w:val="auto"/>
          <w:sz w:val="24"/>
          <w:szCs w:val="24"/>
        </w:rPr>
      </w:pPr>
      <w:r>
        <w:rPr>
          <w:rFonts w:hint="eastAsia" w:ascii="方正仿宋_GBK" w:hAnsi="宋体" w:eastAsia="方正仿宋_GBK" w:cs="Times New Roman"/>
          <w:color w:val="auto"/>
          <w:sz w:val="24"/>
          <w:szCs w:val="24"/>
        </w:rPr>
        <w:t>（一）服务时间：</w:t>
      </w:r>
      <w:r>
        <w:rPr>
          <w:rFonts w:hint="eastAsia" w:ascii="方正仿宋_GBK" w:hAnsi="宋体" w:eastAsia="方正仿宋_GBK" w:cs="Times New Roman"/>
          <w:color w:val="auto"/>
          <w:sz w:val="24"/>
          <w:szCs w:val="24"/>
          <w:u w:val="single"/>
          <w:lang w:val="en-US" w:eastAsia="zh-CN"/>
        </w:rPr>
        <w:t>25天</w:t>
      </w:r>
      <w:r>
        <w:rPr>
          <w:rFonts w:hint="eastAsia" w:ascii="方正仿宋_GBK" w:hAnsi="宋体" w:eastAsia="方正仿宋_GBK" w:cs="Times New Roman"/>
          <w:color w:val="auto"/>
          <w:sz w:val="24"/>
          <w:szCs w:val="24"/>
          <w:u w:val="single"/>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（二）服务地点：重庆医科大学附属永川医院（</w:t>
      </w:r>
      <w:r>
        <w:rPr>
          <w:rFonts w:hint="eastAsia" w:ascii="方正仿宋_GBK" w:hAnsi="宋体" w:eastAsia="方正仿宋_GBK"/>
          <w:color w:val="auto"/>
          <w:sz w:val="24"/>
          <w:szCs w:val="24"/>
        </w:rPr>
        <w:t>重庆市永川区萱花路439号</w:t>
      </w:r>
      <w:r>
        <w:rPr>
          <w:rFonts w:hint="eastAsia" w:ascii="方正仿宋_GBK" w:hAnsi="宋体" w:eastAsia="方正仿宋_GBK" w:cs="Times New Roman"/>
          <w:color w:val="auto"/>
          <w:sz w:val="24"/>
          <w:szCs w:val="24"/>
        </w:rPr>
        <w:t xml:space="preserve">） </w:t>
      </w:r>
    </w:p>
    <w:p>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（三</w:t>
      </w:r>
      <w:bookmarkEnd w:id="83"/>
      <w:bookmarkStart w:id="84" w:name="_Toc485108789"/>
      <w:bookmarkStart w:id="85" w:name="_Toc279"/>
      <w:bookmarkStart w:id="86" w:name="_Toc485108790"/>
      <w:bookmarkStart w:id="87" w:name="_Toc344475122"/>
      <w:r>
        <w:rPr>
          <w:rFonts w:hint="eastAsia" w:ascii="方正仿宋_GBK" w:hAnsi="宋体" w:eastAsia="方正仿宋_GBK" w:cs="Times New Roman"/>
          <w:b w:val="0"/>
          <w:color w:val="auto"/>
          <w:kern w:val="2"/>
          <w:sz w:val="24"/>
          <w:szCs w:val="24"/>
          <w:lang w:val="en-US" w:eastAsia="zh-CN" w:bidi="ar-SA"/>
        </w:rPr>
        <w:t>）验收方式：设施安装调试完成后，双方组织共同验收，服务方需移交检验报告或产品合格证等材料，以及所用材料清单，验收完成后双方人员签字确认。</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二、质量保证及售后服务</w:t>
      </w:r>
      <w:bookmarkEnd w:id="84"/>
      <w:bookmarkEnd w:id="85"/>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（一）产品质量：采购的产品为正规厂家生产的全新合格产品，产品质量须符合国家相关的产品质量标准及要求，提供产品检验报告或合格证明。</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二</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质量保证期：至少</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lang w:eastAsia="zh-CN"/>
        </w:rPr>
        <w:t>年，质保期内免费维修、更换。</w:t>
      </w:r>
      <w:r>
        <w:rPr>
          <w:rFonts w:hint="eastAsia" w:ascii="方正仿宋_GBK" w:hAnsi="宋体" w:eastAsia="方正仿宋_GBK" w:cs="Times New Roman"/>
          <w:color w:val="auto"/>
          <w:sz w:val="24"/>
          <w:szCs w:val="24"/>
        </w:rPr>
        <w:t>质量保证期过后，医院需要继续由原成交供应商和制造商提供售后服务的，成交供应商和制造商应以优惠价格提供售后服务。</w:t>
      </w:r>
    </w:p>
    <w:p>
      <w:pPr>
        <w:snapToGrid w:val="0"/>
        <w:spacing w:line="40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三</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售后服务：</w:t>
      </w:r>
      <w:r>
        <w:rPr>
          <w:rFonts w:hint="eastAsia" w:ascii="方正仿宋_GBK" w:hAnsi="宋体" w:eastAsia="方正仿宋_GBK" w:cs="Times New Roman"/>
          <w:color w:val="auto"/>
          <w:sz w:val="24"/>
          <w:szCs w:val="24"/>
        </w:rPr>
        <w:t>服务方接到采购方通知后应立即响应，电话咨询不能解决的应在1小时内安排技术人员到达现场处理，直至解除故障，质保期内免费维修、更换，质保期外提供售后维修服务的，维修只收取配件费。服务方提供有效的维修联系人和电话，如有变更，应及时通知采购方。</w:t>
      </w:r>
    </w:p>
    <w:p>
      <w:pPr>
        <w:pStyle w:val="3"/>
        <w:spacing w:line="240" w:lineRule="auto"/>
        <w:rPr>
          <w:rFonts w:hint="eastAsia" w:ascii="微软雅黑" w:hAnsi="微软雅黑" w:eastAsia="微软雅黑" w:cs="微软雅黑"/>
          <w:color w:val="auto"/>
          <w:sz w:val="24"/>
          <w:szCs w:val="24"/>
        </w:rPr>
      </w:pPr>
      <w:bookmarkStart w:id="88" w:name="_Toc15905"/>
      <w:r>
        <w:rPr>
          <w:rFonts w:hint="eastAsia" w:ascii="微软雅黑" w:hAnsi="微软雅黑" w:eastAsia="微软雅黑" w:cs="微软雅黑"/>
          <w:color w:val="auto"/>
          <w:sz w:val="24"/>
          <w:szCs w:val="24"/>
        </w:rPr>
        <w:t>三、</w:t>
      </w:r>
      <w:r>
        <w:rPr>
          <w:rFonts w:hint="eastAsia" w:ascii="微软雅黑" w:hAnsi="微软雅黑" w:eastAsia="微软雅黑" w:cs="微软雅黑"/>
          <w:color w:val="auto"/>
          <w:sz w:val="24"/>
          <w:szCs w:val="24"/>
          <w:lang w:eastAsia="zh-CN"/>
        </w:rPr>
        <w:t>报价要求及</w:t>
      </w:r>
      <w:r>
        <w:rPr>
          <w:rFonts w:hint="eastAsia" w:ascii="微软雅黑" w:hAnsi="微软雅黑" w:eastAsia="微软雅黑" w:cs="微软雅黑"/>
          <w:color w:val="auto"/>
          <w:sz w:val="24"/>
          <w:szCs w:val="24"/>
        </w:rPr>
        <w:t>付款方式</w:t>
      </w:r>
      <w:bookmarkEnd w:id="86"/>
      <w:bookmarkEnd w:id="87"/>
      <w:bookmarkEnd w:id="88"/>
    </w:p>
    <w:p>
      <w:pPr>
        <w:snapToGrid w:val="0"/>
        <w:spacing w:line="400" w:lineRule="exact"/>
        <w:ind w:firstLine="480" w:firstLineChars="200"/>
        <w:rPr>
          <w:rFonts w:hint="eastAsia" w:ascii="方正仿宋_GBK" w:hAnsi="宋体" w:eastAsia="方正仿宋_GBK" w:cs="宋体"/>
          <w:color w:val="auto"/>
          <w:kern w:val="0"/>
          <w:sz w:val="24"/>
          <w:szCs w:val="24"/>
          <w:lang w:eastAsia="zh-CN"/>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一</w:t>
      </w: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报价要求</w:t>
      </w:r>
    </w:p>
    <w:p>
      <w:pPr>
        <w:snapToGrid w:val="0"/>
        <w:spacing w:line="400" w:lineRule="exact"/>
        <w:ind w:firstLine="480" w:firstLineChars="200"/>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服务方自行勘查现场后进行分项报价，报价表见附件。</w:t>
      </w:r>
      <w:r>
        <w:rPr>
          <w:rFonts w:hint="eastAsia" w:ascii="方正仿宋_GBK" w:hAnsi="宋体" w:eastAsia="方正仿宋_GBK" w:cs="Times New Roman"/>
          <w:color w:val="auto"/>
          <w:sz w:val="24"/>
          <w:szCs w:val="24"/>
        </w:rPr>
        <w:t>报价包含但不限于货款、安装费、调试费、人工费、税金、管理费等所有费用，</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二</w:t>
      </w:r>
      <w:r>
        <w:rPr>
          <w:rFonts w:hint="eastAsia" w:ascii="方正仿宋_GBK" w:hAnsi="宋体" w:eastAsia="方正仿宋_GBK" w:cs="宋体"/>
          <w:color w:val="auto"/>
          <w:kern w:val="0"/>
          <w:sz w:val="24"/>
          <w:szCs w:val="24"/>
        </w:rPr>
        <w:t>）付款方式</w:t>
      </w:r>
    </w:p>
    <w:p>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宋体" w:eastAsia="方正仿宋_GBK" w:cs="宋体"/>
          <w:b w:val="0"/>
          <w:color w:val="auto"/>
          <w:kern w:val="0"/>
          <w:sz w:val="24"/>
          <w:szCs w:val="24"/>
          <w:lang w:val="en-US" w:eastAsia="zh-CN" w:bidi="ar-SA"/>
        </w:rPr>
      </w:pPr>
      <w:bookmarkStart w:id="89" w:name="_Toc403569795"/>
      <w:bookmarkStart w:id="90" w:name="_Toc7358"/>
      <w:bookmarkStart w:id="91" w:name="_Toc485108793"/>
      <w:r>
        <w:rPr>
          <w:rFonts w:hint="eastAsia" w:ascii="方正仿宋_GBK" w:hAnsi="宋体" w:eastAsia="方正仿宋_GBK" w:cs="宋体"/>
          <w:b w:val="0"/>
          <w:color w:val="auto"/>
          <w:kern w:val="0"/>
          <w:sz w:val="24"/>
          <w:szCs w:val="24"/>
          <w:lang w:val="en-US" w:eastAsia="zh-CN" w:bidi="ar-SA"/>
        </w:rPr>
        <w:t>本次项目无预付款，采购方凭验收资料和合法发票60日内转账支付合同总金额95%，剩余5%为质量保证金，质保期满后无息支付。</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四</w:t>
      </w:r>
      <w:r>
        <w:rPr>
          <w:rFonts w:hint="eastAsia" w:ascii="微软雅黑" w:hAnsi="微软雅黑" w:eastAsia="微软雅黑" w:cs="微软雅黑"/>
          <w:color w:val="auto"/>
          <w:sz w:val="24"/>
          <w:szCs w:val="24"/>
        </w:rPr>
        <w:t>、其他</w:t>
      </w:r>
      <w:bookmarkEnd w:id="89"/>
      <w:bookmarkEnd w:id="90"/>
      <w:bookmarkEnd w:id="91"/>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9"/>
      <w:bookmarkEnd w:id="80"/>
      <w:bookmarkStart w:id="92" w:name="_Toc14840"/>
      <w:bookmarkStart w:id="93" w:name="_Toc485108794"/>
      <w:bookmarkStart w:id="94" w:name="_Toc403569796"/>
      <w:bookmarkStart w:id="95" w:name="_Toc303945820"/>
      <w:bookmarkStart w:id="96" w:name="_Toc148265480"/>
      <w:r>
        <w:rPr>
          <w:rFonts w:hint="eastAsia" w:ascii="微软雅黑" w:hAnsi="微软雅黑" w:eastAsia="微软雅黑" w:cs="微软雅黑"/>
          <w:b/>
          <w:color w:val="auto"/>
          <w:sz w:val="36"/>
          <w:szCs w:val="36"/>
        </w:rPr>
        <w:t>第五篇  合同草案条款</w:t>
      </w:r>
      <w:bookmarkEnd w:id="92"/>
      <w:bookmarkEnd w:id="93"/>
      <w:bookmarkEnd w:id="94"/>
    </w:p>
    <w:p>
      <w:pPr>
        <w:pStyle w:val="3"/>
        <w:spacing w:line="240" w:lineRule="auto"/>
        <w:rPr>
          <w:rFonts w:hint="eastAsia" w:ascii="微软雅黑" w:hAnsi="微软雅黑" w:eastAsia="微软雅黑" w:cs="微软雅黑"/>
          <w:color w:val="auto"/>
          <w:sz w:val="24"/>
          <w:szCs w:val="24"/>
        </w:rPr>
      </w:pPr>
      <w:bookmarkStart w:id="97" w:name="_Toc30815"/>
      <w:bookmarkStart w:id="98" w:name="_Toc54718202"/>
      <w:r>
        <w:rPr>
          <w:rFonts w:hint="eastAsia" w:ascii="微软雅黑" w:hAnsi="微软雅黑" w:eastAsia="微软雅黑" w:cs="微软雅黑"/>
          <w:color w:val="auto"/>
          <w:sz w:val="24"/>
          <w:szCs w:val="24"/>
        </w:rPr>
        <w:t>一、定义</w:t>
      </w:r>
      <w:bookmarkEnd w:id="97"/>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988"/>
      <w:r>
        <w:rPr>
          <w:rFonts w:hint="eastAsia" w:ascii="方正仿宋_GBK" w:hAnsi="宋体" w:eastAsia="方正仿宋_GBK" w:cs="Times New Roman"/>
          <w:color w:val="auto"/>
          <w:sz w:val="24"/>
          <w:szCs w:val="24"/>
        </w:rPr>
        <w:t>（一）甲方（需方）即重庆医科大学附属永川医院。</w:t>
      </w:r>
      <w:bookmarkEnd w:id="99"/>
    </w:p>
    <w:p>
      <w:pPr>
        <w:snapToGrid w:val="0"/>
        <w:spacing w:line="400" w:lineRule="exact"/>
        <w:ind w:firstLine="480" w:firstLineChars="200"/>
        <w:jc w:val="left"/>
        <w:rPr>
          <w:rFonts w:ascii="方正仿宋_GBK" w:hAnsi="宋体" w:eastAsia="方正仿宋_GBK" w:cs="Times New Roman"/>
          <w:color w:val="auto"/>
          <w:sz w:val="24"/>
          <w:szCs w:val="24"/>
        </w:rPr>
      </w:pPr>
      <w:bookmarkStart w:id="100"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100"/>
    </w:p>
    <w:p>
      <w:pPr>
        <w:snapToGrid w:val="0"/>
        <w:spacing w:line="400" w:lineRule="exact"/>
        <w:ind w:firstLine="480" w:firstLineChars="200"/>
        <w:jc w:val="left"/>
        <w:rPr>
          <w:rFonts w:ascii="方正仿宋_GBK" w:hAnsi="宋体" w:eastAsia="方正仿宋_GBK" w:cs="Times New Roman"/>
          <w:color w:val="auto"/>
          <w:sz w:val="24"/>
          <w:szCs w:val="24"/>
        </w:rPr>
      </w:pPr>
      <w:bookmarkStart w:id="101"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101"/>
    </w:p>
    <w:p>
      <w:pPr>
        <w:snapToGrid w:val="0"/>
        <w:spacing w:line="400" w:lineRule="exact"/>
        <w:ind w:firstLine="480" w:firstLineChars="200"/>
        <w:jc w:val="left"/>
        <w:rPr>
          <w:rFonts w:ascii="方正仿宋_GBK" w:hAnsi="宋体" w:eastAsia="方正仿宋_GBK" w:cs="Times New Roman"/>
          <w:color w:val="auto"/>
          <w:sz w:val="24"/>
          <w:szCs w:val="24"/>
        </w:rPr>
      </w:pPr>
      <w:bookmarkStart w:id="102"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102"/>
    </w:p>
    <w:p>
      <w:pPr>
        <w:snapToGrid w:val="0"/>
        <w:spacing w:line="400" w:lineRule="exact"/>
        <w:ind w:firstLine="480" w:firstLineChars="200"/>
        <w:jc w:val="left"/>
        <w:rPr>
          <w:rFonts w:ascii="方正仿宋_GBK" w:hAnsi="宋体" w:eastAsia="方正仿宋_GBK" w:cs="Times New Roman"/>
          <w:color w:val="auto"/>
          <w:sz w:val="24"/>
          <w:szCs w:val="24"/>
        </w:rPr>
      </w:pPr>
      <w:bookmarkStart w:id="103"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103"/>
    </w:p>
    <w:p>
      <w:pPr>
        <w:pStyle w:val="3"/>
        <w:spacing w:line="240" w:lineRule="auto"/>
        <w:rPr>
          <w:rFonts w:hint="eastAsia" w:ascii="微软雅黑" w:hAnsi="微软雅黑" w:eastAsia="微软雅黑" w:cs="微软雅黑"/>
          <w:color w:val="auto"/>
          <w:sz w:val="24"/>
          <w:szCs w:val="24"/>
        </w:rPr>
      </w:pPr>
      <w:bookmarkStart w:id="104" w:name="_Toc17879"/>
      <w:bookmarkStart w:id="105"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104"/>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8967"/>
      <w:r>
        <w:rPr>
          <w:rFonts w:hint="eastAsia" w:ascii="方正仿宋_GBK" w:hAnsi="宋体" w:eastAsia="方正仿宋_GBK" w:cs="Times New Roman"/>
          <w:color w:val="auto"/>
          <w:sz w:val="24"/>
          <w:szCs w:val="24"/>
        </w:rPr>
        <w:t>合同包括以下内容：</w:t>
      </w:r>
      <w:bookmarkEnd w:id="106"/>
      <w:r>
        <w:rPr>
          <w:rFonts w:hint="eastAsia" w:ascii="微软雅黑" w:hAnsi="微软雅黑" w:eastAsia="微软雅黑" w:cs="微软雅黑"/>
          <w:b w:val="0"/>
          <w:color w:val="auto"/>
          <w:kern w:val="2"/>
          <w:sz w:val="24"/>
          <w:szCs w:val="24"/>
          <w:lang w:val="en-US" w:eastAsia="zh-CN" w:bidi="ar-SA"/>
        </w:rPr>
        <w:t>服务内容、服务要求、</w:t>
      </w:r>
      <w:r>
        <w:rPr>
          <w:rFonts w:hint="eastAsia" w:ascii="方正仿宋_GBK" w:hAnsi="宋体" w:eastAsia="方正仿宋_GBK"/>
          <w:color w:val="auto"/>
          <w:sz w:val="24"/>
          <w:szCs w:val="24"/>
        </w:rPr>
        <w:t>货物名称、型号规格、</w:t>
      </w:r>
      <w:r>
        <w:rPr>
          <w:rFonts w:hint="eastAsia" w:ascii="方正仿宋_GBK" w:hAnsi="宋体" w:eastAsia="方正仿宋_GBK"/>
          <w:color w:val="auto"/>
          <w:sz w:val="24"/>
          <w:szCs w:val="24"/>
          <w:lang w:val="en-US" w:eastAsia="zh-CN"/>
        </w:rPr>
        <w:t>品牌、</w:t>
      </w:r>
      <w:r>
        <w:rPr>
          <w:rFonts w:hint="eastAsia" w:ascii="方正仿宋_GBK" w:hAnsi="宋体" w:eastAsia="方正仿宋_GBK"/>
          <w:color w:val="auto"/>
          <w:sz w:val="24"/>
          <w:szCs w:val="24"/>
        </w:rPr>
        <w:t>技术参数、数量（单位）等内容。</w:t>
      </w:r>
    </w:p>
    <w:p>
      <w:pPr>
        <w:pStyle w:val="3"/>
        <w:spacing w:line="240" w:lineRule="auto"/>
        <w:rPr>
          <w:rFonts w:hint="eastAsia" w:ascii="微软雅黑" w:hAnsi="微软雅黑" w:eastAsia="微软雅黑" w:cs="微软雅黑"/>
          <w:color w:val="auto"/>
          <w:sz w:val="24"/>
          <w:szCs w:val="24"/>
        </w:rPr>
      </w:pPr>
      <w:bookmarkStart w:id="107" w:name="_Toc54718204"/>
      <w:bookmarkStart w:id="108" w:name="_Toc8853"/>
      <w:r>
        <w:rPr>
          <w:rFonts w:hint="eastAsia" w:ascii="微软雅黑" w:hAnsi="微软雅黑" w:eastAsia="微软雅黑" w:cs="微软雅黑"/>
          <w:color w:val="auto"/>
          <w:sz w:val="24"/>
          <w:szCs w:val="24"/>
        </w:rPr>
        <w:t>三、合同价格</w:t>
      </w:r>
      <w:bookmarkEnd w:id="107"/>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25177"/>
      <w:bookmarkStart w:id="110"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服务项目</w:t>
      </w:r>
      <w:r>
        <w:rPr>
          <w:rFonts w:hint="eastAsia" w:ascii="方正仿宋_GBK" w:hAnsi="宋体" w:eastAsia="方正仿宋_GBK" w:cs="Times New Roman"/>
          <w:color w:val="auto"/>
          <w:sz w:val="24"/>
          <w:szCs w:val="24"/>
          <w:lang w:val="en-US" w:eastAsia="zh-CN"/>
        </w:rPr>
        <w:t>总价</w:t>
      </w:r>
      <w:r>
        <w:rPr>
          <w:rFonts w:hint="eastAsia" w:ascii="方正仿宋_GBK" w:hAnsi="宋体" w:eastAsia="方正仿宋_GBK" w:cs="Times New Roman"/>
          <w:color w:val="auto"/>
          <w:sz w:val="24"/>
          <w:szCs w:val="24"/>
        </w:rPr>
        <w:t>。</w:t>
      </w:r>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3890"/>
      <w:r>
        <w:rPr>
          <w:rFonts w:hint="eastAsia" w:ascii="方正仿宋_GBK" w:hAnsi="宋体" w:eastAsia="方正仿宋_GBK" w:cs="Times New Roman"/>
          <w:color w:val="auto"/>
          <w:sz w:val="24"/>
          <w:szCs w:val="24"/>
        </w:rPr>
        <w:t>（二）合同价格包含但不限于货款、安装费、调试费、人工费、税金、管理费等所有费用，所有税费由乙方负担。</w:t>
      </w:r>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19296"/>
      <w:r>
        <w:rPr>
          <w:rFonts w:hint="eastAsia" w:ascii="方正仿宋_GBK" w:hAnsi="宋体" w:eastAsia="方正仿宋_GBK" w:cs="Times New Roman"/>
          <w:color w:val="auto"/>
          <w:sz w:val="24"/>
          <w:szCs w:val="24"/>
        </w:rPr>
        <w:t>（三）合同</w:t>
      </w:r>
      <w:r>
        <w:rPr>
          <w:rFonts w:hint="eastAsia" w:ascii="方正仿宋_GBK" w:hAnsi="宋体" w:eastAsia="方正仿宋_GBK" w:cs="Times New Roman"/>
          <w:color w:val="auto"/>
          <w:sz w:val="24"/>
          <w:szCs w:val="24"/>
          <w:lang w:val="en-US" w:eastAsia="zh-CN"/>
        </w:rPr>
        <w:t>货物</w:t>
      </w:r>
      <w:r>
        <w:rPr>
          <w:rFonts w:hint="eastAsia" w:ascii="方正仿宋_GBK" w:hAnsi="宋体" w:eastAsia="方正仿宋_GBK" w:cs="Times New Roman"/>
          <w:color w:val="auto"/>
          <w:sz w:val="24"/>
          <w:szCs w:val="24"/>
        </w:rPr>
        <w:t>单价为不变价。</w:t>
      </w:r>
      <w:bookmarkEnd w:id="112"/>
    </w:p>
    <w:p>
      <w:pPr>
        <w:pStyle w:val="3"/>
        <w:spacing w:line="240" w:lineRule="auto"/>
        <w:rPr>
          <w:rFonts w:hint="eastAsia" w:ascii="微软雅黑" w:hAnsi="微软雅黑" w:eastAsia="微软雅黑" w:cs="微软雅黑"/>
          <w:color w:val="auto"/>
          <w:sz w:val="24"/>
          <w:szCs w:val="24"/>
        </w:rPr>
      </w:pPr>
      <w:bookmarkStart w:id="113" w:name="_Toc24410"/>
      <w:r>
        <w:rPr>
          <w:rFonts w:hint="eastAsia" w:ascii="微软雅黑" w:hAnsi="微软雅黑" w:eastAsia="微软雅黑" w:cs="微软雅黑"/>
          <w:color w:val="auto"/>
          <w:sz w:val="24"/>
          <w:szCs w:val="24"/>
        </w:rPr>
        <w:t>四、转包或分包</w:t>
      </w:r>
      <w:bookmarkEnd w:id="110"/>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14"/>
    </w:p>
    <w:p>
      <w:pPr>
        <w:snapToGrid w:val="0"/>
        <w:spacing w:line="400" w:lineRule="exact"/>
        <w:ind w:firstLine="480" w:firstLineChars="200"/>
        <w:jc w:val="left"/>
        <w:rPr>
          <w:rFonts w:ascii="方正仿宋_GBK" w:hAnsi="宋体" w:eastAsia="方正仿宋_GBK" w:cs="Times New Roman"/>
          <w:color w:val="auto"/>
          <w:sz w:val="24"/>
          <w:szCs w:val="24"/>
        </w:rPr>
      </w:pPr>
      <w:bookmarkStart w:id="115"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15"/>
    </w:p>
    <w:p>
      <w:pPr>
        <w:snapToGrid w:val="0"/>
        <w:spacing w:line="400" w:lineRule="exact"/>
        <w:ind w:firstLine="480" w:firstLineChars="200"/>
        <w:jc w:val="left"/>
        <w:rPr>
          <w:rFonts w:ascii="方正仿宋_GBK" w:hAnsi="宋体" w:eastAsia="方正仿宋_GBK" w:cs="Times New Roman"/>
          <w:color w:val="auto"/>
          <w:sz w:val="24"/>
          <w:szCs w:val="24"/>
        </w:rPr>
      </w:pPr>
      <w:bookmarkStart w:id="116"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16"/>
    </w:p>
    <w:p>
      <w:pPr>
        <w:pStyle w:val="3"/>
        <w:spacing w:line="240" w:lineRule="auto"/>
        <w:rPr>
          <w:rFonts w:hint="eastAsia" w:ascii="微软雅黑" w:hAnsi="微软雅黑" w:eastAsia="微软雅黑" w:cs="微软雅黑"/>
          <w:color w:val="auto"/>
          <w:sz w:val="24"/>
          <w:szCs w:val="24"/>
        </w:rPr>
      </w:pPr>
      <w:bookmarkStart w:id="117" w:name="_Toc54718206"/>
      <w:bookmarkStart w:id="118" w:name="_Toc2241"/>
      <w:r>
        <w:rPr>
          <w:rFonts w:hint="eastAsia" w:ascii="微软雅黑" w:hAnsi="微软雅黑" w:eastAsia="微软雅黑" w:cs="微软雅黑"/>
          <w:color w:val="auto"/>
          <w:sz w:val="24"/>
          <w:szCs w:val="24"/>
        </w:rPr>
        <w:t>五、质量保证及售后服务</w:t>
      </w:r>
      <w:bookmarkEnd w:id="117"/>
      <w:bookmarkEnd w:id="118"/>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19" w:name="_Toc12985"/>
      <w:bookmarkStart w:id="120"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19"/>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20"/>
    </w:p>
    <w:p>
      <w:pPr>
        <w:pStyle w:val="3"/>
        <w:spacing w:line="240" w:lineRule="auto"/>
        <w:rPr>
          <w:rFonts w:hint="eastAsia" w:ascii="微软雅黑" w:hAnsi="微软雅黑" w:eastAsia="微软雅黑" w:cs="微软雅黑"/>
          <w:color w:val="auto"/>
          <w:sz w:val="24"/>
          <w:szCs w:val="24"/>
        </w:rPr>
      </w:pPr>
      <w:bookmarkStart w:id="121" w:name="_Toc9053"/>
      <w:bookmarkStart w:id="122" w:name="_Toc54718207"/>
      <w:r>
        <w:rPr>
          <w:rFonts w:hint="eastAsia" w:ascii="微软雅黑" w:hAnsi="微软雅黑" w:eastAsia="微软雅黑" w:cs="微软雅黑"/>
          <w:color w:val="auto"/>
          <w:sz w:val="24"/>
          <w:szCs w:val="24"/>
        </w:rPr>
        <w:t>六、付款</w:t>
      </w:r>
      <w:bookmarkEnd w:id="121"/>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3183"/>
      <w:r>
        <w:rPr>
          <w:rFonts w:hint="eastAsia" w:ascii="方正仿宋_GBK" w:hAnsi="宋体" w:eastAsia="方正仿宋_GBK" w:cs="Times New Roman"/>
          <w:color w:val="auto"/>
          <w:sz w:val="24"/>
          <w:szCs w:val="24"/>
        </w:rPr>
        <w:t>（一）本合同使用货币币制如未作特别说明均为人民币。</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8880"/>
      <w:r>
        <w:rPr>
          <w:rFonts w:hint="eastAsia" w:ascii="方正仿宋_GBK" w:hAnsi="宋体" w:eastAsia="方正仿宋_GBK" w:cs="Times New Roman"/>
          <w:color w:val="auto"/>
          <w:sz w:val="24"/>
          <w:szCs w:val="24"/>
        </w:rPr>
        <w:t>（二）付款方式：银行转账。</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25"/>
    </w:p>
    <w:p>
      <w:pPr>
        <w:pStyle w:val="3"/>
        <w:spacing w:line="240" w:lineRule="auto"/>
        <w:rPr>
          <w:rFonts w:hint="eastAsia" w:ascii="微软雅黑" w:hAnsi="微软雅黑" w:eastAsia="微软雅黑" w:cs="微软雅黑"/>
          <w:color w:val="auto"/>
          <w:sz w:val="24"/>
          <w:szCs w:val="24"/>
        </w:rPr>
      </w:pPr>
      <w:bookmarkStart w:id="126" w:name="_Toc54718211"/>
      <w:bookmarkStart w:id="127"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26"/>
      <w:bookmarkEnd w:id="127"/>
    </w:p>
    <w:p>
      <w:pPr>
        <w:snapToGrid w:val="0"/>
        <w:spacing w:line="400" w:lineRule="exact"/>
        <w:ind w:firstLine="480" w:firstLineChars="200"/>
        <w:jc w:val="left"/>
        <w:rPr>
          <w:rFonts w:ascii="方正仿宋_GBK" w:hAnsi="宋体" w:eastAsia="方正仿宋_GBK" w:cs="Times New Roman"/>
          <w:color w:val="auto"/>
          <w:sz w:val="24"/>
          <w:szCs w:val="24"/>
        </w:rPr>
      </w:pPr>
      <w:bookmarkStart w:id="128" w:name="_Toc5382"/>
      <w:r>
        <w:rPr>
          <w:rFonts w:hint="eastAsia" w:ascii="方正仿宋_GBK" w:hAnsi="宋体" w:eastAsia="方正仿宋_GBK" w:cs="Times New Roman"/>
          <w:color w:val="auto"/>
          <w:sz w:val="24"/>
          <w:szCs w:val="24"/>
        </w:rPr>
        <w:t>（一）当事人友好协商达成一致</w:t>
      </w:r>
      <w:bookmarkEnd w:id="128"/>
    </w:p>
    <w:p>
      <w:pPr>
        <w:snapToGrid w:val="0"/>
        <w:spacing w:line="400" w:lineRule="exact"/>
        <w:ind w:firstLine="480" w:firstLineChars="200"/>
        <w:jc w:val="left"/>
        <w:rPr>
          <w:rFonts w:ascii="方正仿宋_GBK" w:hAnsi="宋体" w:eastAsia="方正仿宋_GBK" w:cs="Times New Roman"/>
          <w:color w:val="auto"/>
          <w:sz w:val="24"/>
          <w:szCs w:val="24"/>
        </w:rPr>
      </w:pPr>
      <w:bookmarkStart w:id="129" w:name="_Toc29926"/>
      <w:r>
        <w:rPr>
          <w:rFonts w:hint="eastAsia" w:ascii="方正仿宋_GBK" w:hAnsi="宋体" w:eastAsia="方正仿宋_GBK" w:cs="Times New Roman"/>
          <w:color w:val="auto"/>
          <w:sz w:val="24"/>
          <w:szCs w:val="24"/>
        </w:rPr>
        <w:t>（二）</w:t>
      </w:r>
      <w:bookmarkEnd w:id="129"/>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rPr>
          <w:rFonts w:hint="eastAsia" w:ascii="方正仿宋_GBK" w:hAnsi="宋体" w:eastAsia="方正仿宋_GBK"/>
          <w:b/>
          <w:bCs/>
          <w:color w:val="auto"/>
          <w:sz w:val="24"/>
          <w:szCs w:val="24"/>
        </w:rPr>
      </w:pPr>
      <w:bookmarkStart w:id="130" w:name="_Toc26580"/>
      <w:bookmarkStart w:id="131" w:name="_Toc54718212"/>
      <w:r>
        <w:rPr>
          <w:rFonts w:hint="eastAsia" w:ascii="方正仿宋_GBK" w:hAnsi="宋体" w:eastAsia="方正仿宋_GBK"/>
          <w:b/>
          <w:bCs/>
          <w:color w:val="auto"/>
          <w:sz w:val="24"/>
          <w:szCs w:val="24"/>
        </w:rPr>
        <w:t>八、索赔</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供方对货物与合同要求不符负有责任，并且需方已于规定交货内和质量保证期内提出索赔，供方应按需方同意的下述一种或多种方法解决索赔事宜。</w:t>
      </w:r>
    </w:p>
    <w:p>
      <w:pPr>
        <w:snapToGrid w:val="0"/>
        <w:spacing w:line="400" w:lineRule="exact"/>
        <w:ind w:firstLine="480" w:firstLineChars="200"/>
        <w:rPr>
          <w:rFonts w:hint="eastAsia" w:ascii="方正仿宋_GBK" w:hAnsi="宋体" w:eastAsia="方正仿宋_GBK"/>
          <w:color w:val="auto"/>
          <w:sz w:val="24"/>
          <w:szCs w:val="24"/>
        </w:rPr>
      </w:pPr>
      <w:bookmarkStart w:id="132" w:name="_Toc2616"/>
      <w:r>
        <w:rPr>
          <w:rFonts w:hint="eastAsia" w:ascii="方正仿宋_GBK" w:hAnsi="宋体" w:eastAsia="方正仿宋_GBK"/>
          <w:color w:val="auto"/>
          <w:sz w:val="24"/>
          <w:szCs w:val="24"/>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32"/>
    </w:p>
    <w:p>
      <w:pPr>
        <w:snapToGrid w:val="0"/>
        <w:spacing w:line="400" w:lineRule="exact"/>
        <w:ind w:firstLine="480" w:firstLineChars="200"/>
        <w:outlineLvl w:val="1"/>
        <w:rPr>
          <w:rFonts w:hint="eastAsia" w:ascii="方正仿宋_GBK" w:hAnsi="宋体" w:eastAsia="方正仿宋_GBK"/>
          <w:b/>
          <w:bCs/>
          <w:color w:val="auto"/>
          <w:sz w:val="24"/>
          <w:szCs w:val="24"/>
        </w:rPr>
      </w:pPr>
      <w:bookmarkStart w:id="133" w:name="_Toc32371"/>
      <w:r>
        <w:rPr>
          <w:rFonts w:hint="eastAsia" w:ascii="方正仿宋_GBK" w:hAnsi="宋体" w:eastAsia="方正仿宋_GBK"/>
          <w:color w:val="auto"/>
          <w:sz w:val="24"/>
          <w:szCs w:val="24"/>
        </w:rPr>
        <w:t>（二）根据货物的疵劣和受损程度以及需方遭受损失的金额，经双方同意降低货物价格。</w:t>
      </w:r>
      <w:bookmarkEnd w:id="133"/>
    </w:p>
    <w:p>
      <w:pPr>
        <w:snapToGrid w:val="0"/>
        <w:spacing w:line="400" w:lineRule="exact"/>
        <w:outlineLvl w:val="1"/>
        <w:rPr>
          <w:rFonts w:hint="eastAsia" w:ascii="方正仿宋_GBK" w:hAnsi="宋体" w:eastAsia="方正仿宋_GBK"/>
          <w:b/>
          <w:bCs/>
          <w:color w:val="auto"/>
          <w:sz w:val="24"/>
          <w:szCs w:val="24"/>
        </w:rPr>
      </w:pPr>
      <w:bookmarkStart w:id="134" w:name="_Toc54718210"/>
      <w:bookmarkStart w:id="135" w:name="_Toc31719"/>
      <w:r>
        <w:rPr>
          <w:rFonts w:hint="eastAsia" w:ascii="方正仿宋_GBK" w:hAnsi="宋体" w:eastAsia="方正仿宋_GBK"/>
          <w:b/>
          <w:bCs/>
          <w:color w:val="auto"/>
          <w:sz w:val="24"/>
          <w:szCs w:val="24"/>
        </w:rPr>
        <w:t>九、知识产权</w:t>
      </w:r>
      <w:bookmarkEnd w:id="134"/>
      <w:bookmarkEnd w:id="135"/>
    </w:p>
    <w:p>
      <w:pPr>
        <w:snapToGrid w:val="0"/>
        <w:spacing w:line="400" w:lineRule="exact"/>
        <w:ind w:firstLine="480" w:firstLineChars="200"/>
        <w:rPr>
          <w:rFonts w:hint="eastAsia" w:ascii="方正仿宋_GBK" w:hAnsi="宋体" w:eastAsia="方正仿宋_GBK"/>
          <w:color w:val="auto"/>
          <w:sz w:val="24"/>
          <w:szCs w:val="24"/>
        </w:rPr>
      </w:pPr>
      <w:bookmarkStart w:id="136"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36"/>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37" w:name="_Toc17287"/>
      <w:r>
        <w:rPr>
          <w:rFonts w:hint="eastAsia" w:ascii="方正仿宋_GBK" w:hAnsi="宋体" w:eastAsia="方正仿宋_GBK"/>
          <w:color w:val="auto"/>
          <w:sz w:val="24"/>
          <w:szCs w:val="24"/>
        </w:rPr>
        <w:t>（二）若涉及软件开发等服务类项目知识产权的，知识产权归医院所有。</w:t>
      </w:r>
      <w:bookmarkEnd w:id="137"/>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、违约责任</w:t>
      </w:r>
      <w:bookmarkEnd w:id="130"/>
      <w:bookmarkEnd w:id="13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38"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39" w:name="_Toc16142"/>
      <w:r>
        <w:rPr>
          <w:rFonts w:hint="eastAsia" w:ascii="微软雅黑" w:hAnsi="微软雅黑" w:eastAsia="微软雅黑" w:cs="微软雅黑"/>
          <w:color w:val="auto"/>
          <w:sz w:val="24"/>
          <w:szCs w:val="24"/>
          <w:lang w:eastAsia="zh-CN"/>
        </w:rPr>
        <w:t>十一</w:t>
      </w:r>
      <w:r>
        <w:rPr>
          <w:rFonts w:hint="eastAsia" w:ascii="微软雅黑" w:hAnsi="微软雅黑" w:eastAsia="微软雅黑" w:cs="微软雅黑"/>
          <w:color w:val="auto"/>
          <w:sz w:val="24"/>
          <w:szCs w:val="24"/>
        </w:rPr>
        <w:t>、合同生效及其它</w:t>
      </w:r>
      <w:bookmarkEnd w:id="138"/>
      <w:bookmarkEnd w:id="139"/>
    </w:p>
    <w:p>
      <w:pPr>
        <w:snapToGrid w:val="0"/>
        <w:spacing w:line="400" w:lineRule="exact"/>
        <w:ind w:firstLine="480" w:firstLineChars="200"/>
        <w:jc w:val="left"/>
        <w:rPr>
          <w:rFonts w:ascii="方正仿宋_GBK" w:hAnsi="宋体" w:eastAsia="方正仿宋_GBK" w:cs="Times New Roman"/>
          <w:color w:val="auto"/>
          <w:sz w:val="24"/>
          <w:szCs w:val="24"/>
        </w:rPr>
      </w:pPr>
      <w:bookmarkStart w:id="140" w:name="_Toc7071"/>
      <w:r>
        <w:rPr>
          <w:rFonts w:hint="eastAsia" w:ascii="方正仿宋_GBK" w:hAnsi="宋体" w:eastAsia="方正仿宋_GBK" w:cs="Times New Roman"/>
          <w:color w:val="auto"/>
          <w:sz w:val="24"/>
          <w:szCs w:val="24"/>
        </w:rPr>
        <w:t>（一）合同生效及其效力应符合《中华人民共和国民法典》有关规定。</w:t>
      </w:r>
      <w:bookmarkEnd w:id="140"/>
    </w:p>
    <w:p>
      <w:pPr>
        <w:snapToGrid w:val="0"/>
        <w:spacing w:line="400" w:lineRule="exact"/>
        <w:ind w:firstLine="480" w:firstLineChars="200"/>
        <w:jc w:val="left"/>
        <w:rPr>
          <w:rFonts w:ascii="方正仿宋_GBK" w:hAnsi="宋体" w:eastAsia="方正仿宋_GBK" w:cs="Times New Roman"/>
          <w:color w:val="auto"/>
          <w:sz w:val="24"/>
          <w:szCs w:val="24"/>
        </w:rPr>
      </w:pPr>
      <w:bookmarkStart w:id="141"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41"/>
    </w:p>
    <w:p>
      <w:pPr>
        <w:snapToGrid w:val="0"/>
        <w:spacing w:line="400" w:lineRule="exact"/>
        <w:ind w:firstLine="480" w:firstLineChars="200"/>
        <w:jc w:val="left"/>
        <w:rPr>
          <w:rFonts w:ascii="方正仿宋_GBK" w:hAnsi="宋体" w:eastAsia="方正仿宋_GBK" w:cs="Times New Roman"/>
          <w:color w:val="auto"/>
          <w:sz w:val="24"/>
          <w:szCs w:val="24"/>
        </w:rPr>
      </w:pPr>
      <w:bookmarkStart w:id="142"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42"/>
    </w:p>
    <w:p>
      <w:pPr>
        <w:snapToGrid w:val="0"/>
        <w:spacing w:line="400" w:lineRule="exact"/>
        <w:ind w:firstLine="480" w:firstLineChars="200"/>
        <w:jc w:val="left"/>
        <w:rPr>
          <w:rFonts w:ascii="方正仿宋_GBK" w:hAnsi="宋体" w:eastAsia="方正仿宋_GBK" w:cs="Times New Roman"/>
          <w:color w:val="auto"/>
          <w:sz w:val="24"/>
          <w:szCs w:val="24"/>
        </w:rPr>
      </w:pPr>
      <w:bookmarkStart w:id="143" w:name="_Toc28233"/>
      <w:r>
        <w:rPr>
          <w:rFonts w:hint="eastAsia" w:ascii="方正仿宋_GBK" w:hAnsi="宋体" w:eastAsia="方正仿宋_GBK" w:cs="Times New Roman"/>
          <w:color w:val="auto"/>
          <w:sz w:val="24"/>
          <w:szCs w:val="24"/>
        </w:rPr>
        <w:t>（四）合同需提供担保的，按《中华人民共和国担保法》规定执行。</w:t>
      </w:r>
      <w:bookmarkEnd w:id="143"/>
    </w:p>
    <w:p>
      <w:pPr>
        <w:snapToGrid w:val="0"/>
        <w:spacing w:line="400" w:lineRule="exact"/>
        <w:ind w:firstLine="480" w:firstLineChars="200"/>
        <w:jc w:val="left"/>
        <w:rPr>
          <w:rFonts w:ascii="方正仿宋_GBK" w:hAnsi="宋体" w:eastAsia="方正仿宋_GBK" w:cs="Times New Roman"/>
          <w:color w:val="auto"/>
          <w:sz w:val="24"/>
          <w:szCs w:val="24"/>
        </w:rPr>
      </w:pPr>
      <w:bookmarkStart w:id="144"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44"/>
    </w:p>
    <w:bookmarkEnd w:id="95"/>
    <w:bookmarkEnd w:id="96"/>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45" w:name="_Hlt41879464"/>
      <w:bookmarkEnd w:id="145"/>
      <w:bookmarkStart w:id="146" w:name="_Toc12789072"/>
      <w:bookmarkStart w:id="147" w:name="_Toc485108795"/>
      <w:bookmarkStart w:id="148" w:name="_Toc13696"/>
      <w:r>
        <w:rPr>
          <w:rFonts w:hint="eastAsia" w:ascii="微软雅黑" w:hAnsi="微软雅黑" w:eastAsia="微软雅黑" w:cs="微软雅黑"/>
          <w:b/>
          <w:color w:val="auto"/>
          <w:sz w:val="36"/>
          <w:szCs w:val="36"/>
        </w:rPr>
        <w:t>第六篇  响应文件格式要求</w:t>
      </w:r>
      <w:bookmarkEnd w:id="146"/>
      <w:bookmarkEnd w:id="147"/>
      <w:bookmarkEnd w:id="148"/>
    </w:p>
    <w:p>
      <w:pPr>
        <w:pStyle w:val="3"/>
        <w:spacing w:line="240" w:lineRule="auto"/>
        <w:rPr>
          <w:rFonts w:hint="eastAsia" w:ascii="微软雅黑" w:hAnsi="微软雅黑" w:eastAsia="微软雅黑" w:cs="微软雅黑"/>
          <w:color w:val="auto"/>
          <w:sz w:val="24"/>
          <w:szCs w:val="24"/>
        </w:rPr>
      </w:pPr>
      <w:bookmarkStart w:id="149" w:name="_Toc27382"/>
      <w:r>
        <w:rPr>
          <w:rFonts w:hint="eastAsia" w:ascii="微软雅黑" w:hAnsi="微软雅黑" w:eastAsia="微软雅黑" w:cs="微软雅黑"/>
          <w:color w:val="auto"/>
          <w:sz w:val="24"/>
          <w:szCs w:val="24"/>
        </w:rPr>
        <w:t>一、经济部分</w:t>
      </w:r>
      <w:bookmarkEnd w:id="149"/>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50" w:name="_Toc6305"/>
      <w:r>
        <w:rPr>
          <w:rFonts w:hint="eastAsia" w:ascii="微软雅黑" w:hAnsi="微软雅黑" w:eastAsia="微软雅黑" w:cs="微软雅黑"/>
          <w:color w:val="auto"/>
          <w:sz w:val="24"/>
          <w:szCs w:val="24"/>
        </w:rPr>
        <w:t>二、服务部分</w:t>
      </w:r>
      <w:bookmarkEnd w:id="150"/>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51" w:name="_Toc7207"/>
      <w:r>
        <w:rPr>
          <w:rFonts w:hint="eastAsia" w:ascii="微软雅黑" w:hAnsi="微软雅黑" w:eastAsia="微软雅黑" w:cs="微软雅黑"/>
          <w:color w:val="auto"/>
          <w:sz w:val="24"/>
          <w:szCs w:val="24"/>
        </w:rPr>
        <w:t>三、商务部分</w:t>
      </w:r>
      <w:bookmarkEnd w:id="151"/>
    </w:p>
    <w:p>
      <w:pPr>
        <w:snapToGrid w:val="0"/>
        <w:spacing w:line="360" w:lineRule="auto"/>
        <w:ind w:firstLine="480" w:firstLineChars="200"/>
        <w:rPr>
          <w:rFonts w:hint="eastAsia" w:ascii="微软雅黑" w:hAnsi="微软雅黑" w:eastAsia="微软雅黑" w:cs="微软雅黑"/>
          <w:color w:val="auto"/>
          <w:sz w:val="24"/>
          <w:szCs w:val="24"/>
        </w:rPr>
      </w:pPr>
      <w:bookmarkStart w:id="152" w:name="_Toc38358147"/>
      <w:bookmarkStart w:id="153" w:name="OLE_LINK11"/>
      <w:bookmarkStart w:id="154" w:name="OLE_LINK10"/>
      <w:r>
        <w:rPr>
          <w:rFonts w:hint="eastAsia" w:ascii="微软雅黑" w:hAnsi="微软雅黑" w:eastAsia="微软雅黑" w:cs="微软雅黑"/>
          <w:color w:val="auto"/>
          <w:sz w:val="24"/>
          <w:szCs w:val="24"/>
        </w:rPr>
        <w:t>（一）按照“第四篇  项目商务需求”提供相应资料</w:t>
      </w:r>
      <w:bookmarkEnd w:id="152"/>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55" w:name="_Toc18417"/>
      <w:r>
        <w:rPr>
          <w:rFonts w:hint="eastAsia" w:ascii="微软雅黑" w:hAnsi="微软雅黑" w:eastAsia="微软雅黑" w:cs="微软雅黑"/>
          <w:color w:val="auto"/>
          <w:sz w:val="24"/>
          <w:szCs w:val="24"/>
        </w:rPr>
        <w:t>四、资格条件及其他</w:t>
      </w:r>
      <w:bookmarkEnd w:id="155"/>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56" w:name="_Toc19884"/>
      <w:r>
        <w:rPr>
          <w:rFonts w:hint="eastAsia" w:ascii="微软雅黑" w:hAnsi="微软雅黑" w:eastAsia="微软雅黑" w:cs="微软雅黑"/>
          <w:color w:val="auto"/>
          <w:sz w:val="24"/>
          <w:szCs w:val="24"/>
        </w:rPr>
        <w:t>五、其他应提供的资料</w:t>
      </w:r>
      <w:bookmarkEnd w:id="156"/>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53"/>
    <w:bookmarkEnd w:id="154"/>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rPr>
      </w:pPr>
      <w:bookmarkStart w:id="157" w:name="_Toc480979018"/>
      <w:bookmarkStart w:id="158" w:name="_Toc342913419"/>
      <w:bookmarkStart w:id="159" w:name="_Toc485108796"/>
      <w:bookmarkStart w:id="160" w:name="_Toc313888360"/>
      <w:bookmarkStart w:id="161" w:name="_Toc313008356"/>
      <w:bookmarkStart w:id="162" w:name="_Toc283382454"/>
      <w:bookmarkStart w:id="163" w:name="_Toc12789073"/>
      <w:r>
        <w:rPr>
          <w:rFonts w:hint="eastAsia"/>
          <w:b/>
          <w:color w:val="auto"/>
        </w:rPr>
        <w:t>经济部分</w:t>
      </w:r>
      <w:bookmarkEnd w:id="157"/>
      <w:bookmarkEnd w:id="158"/>
      <w:bookmarkEnd w:id="159"/>
      <w:bookmarkEnd w:id="160"/>
      <w:bookmarkEnd w:id="161"/>
    </w:p>
    <w:p>
      <w:pPr>
        <w:pStyle w:val="180"/>
        <w:ind w:left="450" w:firstLine="0" w:firstLineChars="0"/>
        <w:rPr>
          <w:b/>
          <w:color w:val="auto"/>
        </w:rPr>
      </w:pPr>
    </w:p>
    <w:bookmarkEnd w:id="162"/>
    <w:bookmarkEnd w:id="163"/>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r>
        <w:rPr>
          <w:rFonts w:hint="eastAsia" w:ascii="方正仿宋_GBK" w:hAnsi="宋体" w:eastAsia="方正仿宋_GBK" w:cs="Times New Roman"/>
          <w:color w:val="auto"/>
          <w:sz w:val="24"/>
          <w:szCs w:val="24"/>
        </w:rPr>
        <w:t>（格式自定）</w:t>
      </w:r>
    </w:p>
    <w:p>
      <w:pPr>
        <w:spacing w:line="360" w:lineRule="auto"/>
        <w:rPr>
          <w:rFonts w:ascii="方正仿宋_GBK" w:hAnsi="宋体" w:eastAsia="方正仿宋_GBK" w:cs="Times New Roman"/>
          <w:color w:val="auto"/>
          <w:sz w:val="24"/>
          <w:szCs w:val="24"/>
          <w:u w:val="single"/>
        </w:rPr>
      </w:pPr>
      <w:r>
        <w:rPr>
          <w:rFonts w:hint="eastAsia" w:ascii="方正仿宋_GBK" w:hAnsi="宋体" w:eastAsia="方正仿宋_GBK" w:cs="Times New Roman"/>
          <w:color w:val="auto"/>
          <w:sz w:val="24"/>
          <w:szCs w:val="24"/>
        </w:rPr>
        <w:t>项目名称：保安负荷应急电源改造服务</w:t>
      </w:r>
    </w:p>
    <w:tbl>
      <w:tblPr>
        <w:tblStyle w:val="58"/>
        <w:tblW w:w="9623" w:type="dxa"/>
        <w:jc w:val="center"/>
        <w:tblLayout w:type="fixed"/>
        <w:tblCellMar>
          <w:top w:w="0" w:type="dxa"/>
          <w:left w:w="108" w:type="dxa"/>
          <w:bottom w:w="0" w:type="dxa"/>
          <w:right w:w="108" w:type="dxa"/>
        </w:tblCellMar>
      </w:tblPr>
      <w:tblGrid>
        <w:gridCol w:w="672"/>
        <w:gridCol w:w="1342"/>
        <w:gridCol w:w="1920"/>
        <w:gridCol w:w="996"/>
        <w:gridCol w:w="756"/>
        <w:gridCol w:w="768"/>
        <w:gridCol w:w="1032"/>
        <w:gridCol w:w="1080"/>
        <w:gridCol w:w="1057"/>
      </w:tblGrid>
      <w:tr>
        <w:tblPrEx>
          <w:tblCellMar>
            <w:top w:w="0" w:type="dxa"/>
            <w:left w:w="108" w:type="dxa"/>
            <w:bottom w:w="0" w:type="dxa"/>
            <w:right w:w="108" w:type="dxa"/>
          </w:tblCellMar>
        </w:tblPrEx>
        <w:trPr>
          <w:trHeight w:val="435"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序号</w:t>
            </w:r>
          </w:p>
        </w:tc>
        <w:tc>
          <w:tcPr>
            <w:tcW w:w="134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材料名称</w:t>
            </w:r>
          </w:p>
        </w:tc>
        <w:tc>
          <w:tcPr>
            <w:tcW w:w="19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规格及型号</w:t>
            </w:r>
          </w:p>
        </w:tc>
        <w:tc>
          <w:tcPr>
            <w:tcW w:w="9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lang w:eastAsia="zh-CN"/>
              </w:rPr>
            </w:pPr>
            <w:r>
              <w:rPr>
                <w:rFonts w:hint="eastAsia" w:ascii="宋体" w:hAnsi="宋体" w:cs="宋体"/>
                <w:kern w:val="0"/>
                <w:sz w:val="20"/>
                <w:szCs w:val="20"/>
                <w:lang w:eastAsia="zh-CN"/>
              </w:rPr>
              <w:t>品牌</w:t>
            </w:r>
          </w:p>
        </w:tc>
        <w:tc>
          <w:tcPr>
            <w:tcW w:w="7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 xml:space="preserve">单位 </w:t>
            </w:r>
          </w:p>
        </w:tc>
        <w:tc>
          <w:tcPr>
            <w:tcW w:w="7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数量</w:t>
            </w:r>
          </w:p>
        </w:tc>
        <w:tc>
          <w:tcPr>
            <w:tcW w:w="103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单价(元）</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总价（元）</w:t>
            </w:r>
          </w:p>
        </w:tc>
        <w:tc>
          <w:tcPr>
            <w:tcW w:w="105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备  注</w:t>
            </w:r>
          </w:p>
        </w:tc>
      </w:tr>
      <w:tr>
        <w:tblPrEx>
          <w:tblCellMar>
            <w:top w:w="0" w:type="dxa"/>
            <w:left w:w="108" w:type="dxa"/>
            <w:bottom w:w="0" w:type="dxa"/>
            <w:right w:w="108" w:type="dxa"/>
          </w:tblCellMar>
        </w:tblPrEx>
        <w:trPr>
          <w:trHeight w:val="28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134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电缆</w:t>
            </w:r>
          </w:p>
        </w:tc>
        <w:tc>
          <w:tcPr>
            <w:tcW w:w="19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ZC-YJV 4*120</w:t>
            </w:r>
          </w:p>
        </w:tc>
        <w:tc>
          <w:tcPr>
            <w:tcW w:w="996" w:type="dxa"/>
            <w:tcBorders>
              <w:top w:val="nil"/>
              <w:left w:val="nil"/>
              <w:bottom w:val="single" w:color="auto" w:sz="4" w:space="0"/>
              <w:right w:val="single" w:color="auto" w:sz="4" w:space="0"/>
            </w:tcBorders>
            <w:shd w:val="clear" w:color="auto" w:fill="auto"/>
            <w:noWrap/>
          </w:tcPr>
          <w:p>
            <w:pPr>
              <w:widowControl/>
              <w:jc w:val="left"/>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tcPr>
          <w:p>
            <w:pPr>
              <w:widowControl/>
              <w:jc w:val="left"/>
              <w:rPr>
                <w:rFonts w:hint="eastAsia" w:ascii="宋体" w:hAnsi="宋体" w:cs="宋体"/>
                <w:kern w:val="0"/>
                <w:sz w:val="20"/>
                <w:szCs w:val="20"/>
              </w:rPr>
            </w:pPr>
            <w:r>
              <w:rPr>
                <w:rFonts w:hint="eastAsia" w:ascii="宋体" w:hAnsi="宋体" w:cs="宋体"/>
                <w:kern w:val="0"/>
                <w:sz w:val="20"/>
                <w:szCs w:val="20"/>
              </w:rPr>
              <w:t>米</w:t>
            </w:r>
          </w:p>
        </w:tc>
        <w:tc>
          <w:tcPr>
            <w:tcW w:w="76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180</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vAlign w:val="center"/>
          </w:tcPr>
          <w:p>
            <w:pPr>
              <w:widowControl/>
              <w:ind w:firstLine="100" w:firstLineChars="50"/>
              <w:rPr>
                <w:rFonts w:ascii="宋体" w:hAnsi="宋体" w:cs="宋体"/>
                <w:kern w:val="0"/>
                <w:sz w:val="20"/>
                <w:szCs w:val="20"/>
              </w:rPr>
            </w:pPr>
          </w:p>
        </w:tc>
      </w:tr>
      <w:tr>
        <w:tblPrEx>
          <w:tblCellMar>
            <w:top w:w="0" w:type="dxa"/>
            <w:left w:w="108" w:type="dxa"/>
            <w:bottom w:w="0" w:type="dxa"/>
            <w:right w:w="108" w:type="dxa"/>
          </w:tblCellMar>
        </w:tblPrEx>
        <w:trPr>
          <w:trHeight w:val="28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34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电缆</w:t>
            </w:r>
          </w:p>
        </w:tc>
        <w:tc>
          <w:tcPr>
            <w:tcW w:w="1920" w:type="dxa"/>
            <w:tcBorders>
              <w:top w:val="nil"/>
              <w:left w:val="nil"/>
              <w:bottom w:val="single" w:color="auto" w:sz="4" w:space="0"/>
              <w:right w:val="single" w:color="auto" w:sz="4" w:space="0"/>
            </w:tcBorders>
            <w:shd w:val="clear" w:color="auto" w:fill="auto"/>
            <w:noWrap/>
          </w:tcPr>
          <w:p>
            <w:pPr>
              <w:widowControl/>
              <w:jc w:val="left"/>
              <w:rPr>
                <w:rFonts w:hint="eastAsia" w:ascii="宋体" w:hAnsi="宋体" w:cs="宋体"/>
                <w:kern w:val="0"/>
                <w:sz w:val="20"/>
                <w:szCs w:val="20"/>
              </w:rPr>
            </w:pPr>
            <w:r>
              <w:rPr>
                <w:rFonts w:hint="eastAsia" w:ascii="宋体" w:hAnsi="宋体" w:cs="宋体"/>
                <w:kern w:val="0"/>
                <w:sz w:val="20"/>
                <w:szCs w:val="20"/>
              </w:rPr>
              <w:t>ZC-YJV 4*95</w:t>
            </w:r>
          </w:p>
        </w:tc>
        <w:tc>
          <w:tcPr>
            <w:tcW w:w="996" w:type="dxa"/>
            <w:tcBorders>
              <w:top w:val="nil"/>
              <w:left w:val="nil"/>
              <w:bottom w:val="single" w:color="auto" w:sz="4" w:space="0"/>
              <w:right w:val="single" w:color="auto" w:sz="4" w:space="0"/>
            </w:tcBorders>
            <w:shd w:val="clear" w:color="auto" w:fill="auto"/>
            <w:noWrap/>
          </w:tcPr>
          <w:p>
            <w:pPr>
              <w:widowControl/>
              <w:jc w:val="left"/>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tcPr>
          <w:p>
            <w:pPr>
              <w:widowControl/>
              <w:jc w:val="left"/>
              <w:rPr>
                <w:rFonts w:hint="eastAsia" w:ascii="宋体" w:hAnsi="宋体" w:cs="宋体"/>
                <w:kern w:val="0"/>
                <w:sz w:val="20"/>
                <w:szCs w:val="20"/>
              </w:rPr>
            </w:pPr>
            <w:r>
              <w:rPr>
                <w:rFonts w:hint="eastAsia" w:ascii="宋体" w:hAnsi="宋体" w:cs="宋体"/>
                <w:kern w:val="0"/>
                <w:sz w:val="20"/>
                <w:szCs w:val="20"/>
              </w:rPr>
              <w:t>米</w:t>
            </w:r>
          </w:p>
        </w:tc>
        <w:tc>
          <w:tcPr>
            <w:tcW w:w="76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95</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tcPr>
          <w:p>
            <w:pPr>
              <w:ind w:firstLine="105" w:firstLineChars="50"/>
            </w:pPr>
          </w:p>
        </w:tc>
      </w:tr>
      <w:tr>
        <w:tblPrEx>
          <w:tblCellMar>
            <w:top w:w="0" w:type="dxa"/>
            <w:left w:w="108" w:type="dxa"/>
            <w:bottom w:w="0" w:type="dxa"/>
            <w:right w:w="108" w:type="dxa"/>
          </w:tblCellMar>
        </w:tblPrEx>
        <w:trPr>
          <w:trHeight w:val="28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134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电缆</w:t>
            </w:r>
          </w:p>
        </w:tc>
        <w:tc>
          <w:tcPr>
            <w:tcW w:w="1920" w:type="dxa"/>
            <w:tcBorders>
              <w:top w:val="nil"/>
              <w:left w:val="nil"/>
              <w:bottom w:val="single" w:color="auto" w:sz="4" w:space="0"/>
              <w:right w:val="single" w:color="auto" w:sz="4" w:space="0"/>
            </w:tcBorders>
            <w:shd w:val="clear" w:color="auto" w:fill="auto"/>
            <w:noWrap/>
          </w:tcPr>
          <w:p>
            <w:pPr>
              <w:widowControl/>
              <w:jc w:val="left"/>
              <w:rPr>
                <w:rFonts w:hint="eastAsia" w:ascii="宋体" w:hAnsi="宋体" w:cs="宋体"/>
                <w:kern w:val="0"/>
                <w:sz w:val="20"/>
                <w:szCs w:val="20"/>
              </w:rPr>
            </w:pPr>
            <w:r>
              <w:rPr>
                <w:rFonts w:hint="eastAsia" w:ascii="宋体" w:hAnsi="宋体" w:cs="宋体"/>
                <w:kern w:val="0"/>
                <w:sz w:val="20"/>
                <w:szCs w:val="20"/>
              </w:rPr>
              <w:t>ZC-YJV 4*70</w:t>
            </w:r>
          </w:p>
        </w:tc>
        <w:tc>
          <w:tcPr>
            <w:tcW w:w="996" w:type="dxa"/>
            <w:tcBorders>
              <w:top w:val="nil"/>
              <w:left w:val="nil"/>
              <w:bottom w:val="single" w:color="auto" w:sz="4" w:space="0"/>
              <w:right w:val="single" w:color="auto" w:sz="4" w:space="0"/>
            </w:tcBorders>
            <w:shd w:val="clear" w:color="auto" w:fill="auto"/>
            <w:noWrap/>
          </w:tcPr>
          <w:p>
            <w:pPr>
              <w:widowControl/>
              <w:jc w:val="left"/>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tcPr>
          <w:p>
            <w:pPr>
              <w:widowControl/>
              <w:jc w:val="left"/>
              <w:rPr>
                <w:rFonts w:hint="eastAsia" w:ascii="宋体" w:hAnsi="宋体" w:cs="宋体"/>
                <w:kern w:val="0"/>
                <w:sz w:val="20"/>
                <w:szCs w:val="20"/>
              </w:rPr>
            </w:pPr>
            <w:r>
              <w:rPr>
                <w:rFonts w:hint="eastAsia" w:ascii="宋体" w:hAnsi="宋体" w:cs="宋体"/>
                <w:kern w:val="0"/>
                <w:sz w:val="20"/>
                <w:szCs w:val="20"/>
              </w:rPr>
              <w:t>米</w:t>
            </w:r>
          </w:p>
        </w:tc>
        <w:tc>
          <w:tcPr>
            <w:tcW w:w="76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30</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tcPr>
          <w:p>
            <w:pPr>
              <w:ind w:firstLine="105" w:firstLineChars="50"/>
            </w:pPr>
          </w:p>
        </w:tc>
      </w:tr>
      <w:tr>
        <w:tblPrEx>
          <w:tblCellMar>
            <w:top w:w="0" w:type="dxa"/>
            <w:left w:w="108" w:type="dxa"/>
            <w:bottom w:w="0" w:type="dxa"/>
            <w:right w:w="108" w:type="dxa"/>
          </w:tblCellMar>
        </w:tblPrEx>
        <w:trPr>
          <w:trHeight w:val="28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34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双电源开关</w:t>
            </w:r>
          </w:p>
        </w:tc>
        <w:tc>
          <w:tcPr>
            <w:tcW w:w="1920"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s="宋体"/>
                <w:kern w:val="0"/>
                <w:sz w:val="20"/>
                <w:szCs w:val="20"/>
              </w:rPr>
            </w:pPr>
            <w:r>
              <w:rPr>
                <w:rFonts w:hint="eastAsia" w:ascii="宋体" w:hAnsi="宋体" w:cs="宋体"/>
                <w:kern w:val="0"/>
                <w:sz w:val="20"/>
                <w:szCs w:val="20"/>
              </w:rPr>
              <w:t xml:space="preserve">4P 250A  </w:t>
            </w:r>
          </w:p>
        </w:tc>
        <w:tc>
          <w:tcPr>
            <w:tcW w:w="99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个</w:t>
            </w:r>
          </w:p>
        </w:tc>
        <w:tc>
          <w:tcPr>
            <w:tcW w:w="76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2</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34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5</w:t>
            </w:r>
          </w:p>
        </w:tc>
        <w:tc>
          <w:tcPr>
            <w:tcW w:w="134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双电源开关</w:t>
            </w:r>
          </w:p>
        </w:tc>
        <w:tc>
          <w:tcPr>
            <w:tcW w:w="19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4P 200A</w:t>
            </w:r>
          </w:p>
        </w:tc>
        <w:tc>
          <w:tcPr>
            <w:tcW w:w="99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个</w:t>
            </w:r>
          </w:p>
        </w:tc>
        <w:tc>
          <w:tcPr>
            <w:tcW w:w="76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2</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34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6</w:t>
            </w:r>
          </w:p>
        </w:tc>
        <w:tc>
          <w:tcPr>
            <w:tcW w:w="134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空气开关</w:t>
            </w:r>
          </w:p>
        </w:tc>
        <w:tc>
          <w:tcPr>
            <w:tcW w:w="19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4P 315A</w:t>
            </w:r>
          </w:p>
        </w:tc>
        <w:tc>
          <w:tcPr>
            <w:tcW w:w="99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个</w:t>
            </w:r>
          </w:p>
        </w:tc>
        <w:tc>
          <w:tcPr>
            <w:tcW w:w="76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1</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7</w:t>
            </w:r>
          </w:p>
        </w:tc>
        <w:tc>
          <w:tcPr>
            <w:tcW w:w="134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空气开关</w:t>
            </w:r>
          </w:p>
        </w:tc>
        <w:tc>
          <w:tcPr>
            <w:tcW w:w="19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4P 250A</w:t>
            </w:r>
          </w:p>
        </w:tc>
        <w:tc>
          <w:tcPr>
            <w:tcW w:w="99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个</w:t>
            </w:r>
          </w:p>
        </w:tc>
        <w:tc>
          <w:tcPr>
            <w:tcW w:w="76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3</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8</w:t>
            </w:r>
          </w:p>
        </w:tc>
        <w:tc>
          <w:tcPr>
            <w:tcW w:w="134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空气开关</w:t>
            </w:r>
          </w:p>
        </w:tc>
        <w:tc>
          <w:tcPr>
            <w:tcW w:w="19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4P 200A</w:t>
            </w:r>
          </w:p>
        </w:tc>
        <w:tc>
          <w:tcPr>
            <w:tcW w:w="99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个</w:t>
            </w:r>
          </w:p>
        </w:tc>
        <w:tc>
          <w:tcPr>
            <w:tcW w:w="76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2</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134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动力柜</w:t>
            </w:r>
          </w:p>
        </w:tc>
        <w:tc>
          <w:tcPr>
            <w:tcW w:w="19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800*400*1800（mm）</w:t>
            </w:r>
          </w:p>
        </w:tc>
        <w:tc>
          <w:tcPr>
            <w:tcW w:w="99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台</w:t>
            </w:r>
          </w:p>
        </w:tc>
        <w:tc>
          <w:tcPr>
            <w:tcW w:w="76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2</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vAlign w:val="center"/>
          </w:tcPr>
          <w:p>
            <w:pPr>
              <w:widowControl/>
              <w:rPr>
                <w:rFonts w:ascii="宋体" w:hAnsi="宋体" w:cs="宋体"/>
                <w:kern w:val="0"/>
                <w:sz w:val="20"/>
                <w:szCs w:val="20"/>
              </w:rPr>
            </w:pPr>
          </w:p>
        </w:tc>
      </w:tr>
      <w:tr>
        <w:tblPrEx>
          <w:tblCellMar>
            <w:top w:w="0" w:type="dxa"/>
            <w:left w:w="108" w:type="dxa"/>
            <w:bottom w:w="0" w:type="dxa"/>
            <w:right w:w="108" w:type="dxa"/>
          </w:tblCellMar>
        </w:tblPrEx>
        <w:trPr>
          <w:trHeight w:val="28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c>
          <w:tcPr>
            <w:tcW w:w="134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配电箱</w:t>
            </w:r>
          </w:p>
        </w:tc>
        <w:tc>
          <w:tcPr>
            <w:tcW w:w="19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600*800*200（mm）</w:t>
            </w:r>
          </w:p>
        </w:tc>
        <w:tc>
          <w:tcPr>
            <w:tcW w:w="99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台</w:t>
            </w:r>
          </w:p>
        </w:tc>
        <w:tc>
          <w:tcPr>
            <w:tcW w:w="76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1</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11</w:t>
            </w:r>
          </w:p>
        </w:tc>
        <w:tc>
          <w:tcPr>
            <w:tcW w:w="134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桥架</w:t>
            </w:r>
          </w:p>
        </w:tc>
        <w:tc>
          <w:tcPr>
            <w:tcW w:w="19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200*100*1.2（mm）</w:t>
            </w:r>
          </w:p>
        </w:tc>
        <w:tc>
          <w:tcPr>
            <w:tcW w:w="99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米</w:t>
            </w:r>
          </w:p>
        </w:tc>
        <w:tc>
          <w:tcPr>
            <w:tcW w:w="76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10</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12</w:t>
            </w:r>
          </w:p>
        </w:tc>
        <w:tc>
          <w:tcPr>
            <w:tcW w:w="134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桥架</w:t>
            </w:r>
          </w:p>
        </w:tc>
        <w:tc>
          <w:tcPr>
            <w:tcW w:w="19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100*100*1.2（mm）</w:t>
            </w:r>
          </w:p>
        </w:tc>
        <w:tc>
          <w:tcPr>
            <w:tcW w:w="99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米</w:t>
            </w:r>
          </w:p>
        </w:tc>
        <w:tc>
          <w:tcPr>
            <w:tcW w:w="76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280</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13</w:t>
            </w:r>
          </w:p>
        </w:tc>
        <w:tc>
          <w:tcPr>
            <w:tcW w:w="134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0"/>
                <w:szCs w:val="20"/>
              </w:rPr>
            </w:pPr>
            <w:r>
              <w:rPr>
                <w:rFonts w:hint="eastAsia" w:ascii="宋体" w:hAnsi="宋体" w:cs="宋体"/>
                <w:kern w:val="0"/>
                <w:sz w:val="20"/>
                <w:szCs w:val="20"/>
              </w:rPr>
              <w:t>辅材</w:t>
            </w:r>
          </w:p>
        </w:tc>
        <w:tc>
          <w:tcPr>
            <w:tcW w:w="19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桥架支架、电缆终端、铜鼻子、铜排等</w:t>
            </w:r>
          </w:p>
        </w:tc>
        <w:tc>
          <w:tcPr>
            <w:tcW w:w="99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jc w:val="center"/>
        </w:trPr>
        <w:tc>
          <w:tcPr>
            <w:tcW w:w="67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14</w:t>
            </w:r>
          </w:p>
        </w:tc>
        <w:tc>
          <w:tcPr>
            <w:tcW w:w="3262"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综合费用 （ 人工、管理、税收等）</w:t>
            </w:r>
          </w:p>
        </w:tc>
        <w:tc>
          <w:tcPr>
            <w:tcW w:w="99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p>
        </w:tc>
        <w:tc>
          <w:tcPr>
            <w:tcW w:w="7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03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p>
        </w:tc>
        <w:tc>
          <w:tcPr>
            <w:tcW w:w="105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360" w:hRule="atLeast"/>
          <w:jc w:val="center"/>
        </w:trPr>
        <w:tc>
          <w:tcPr>
            <w:tcW w:w="201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bCs/>
                <w:kern w:val="0"/>
                <w:sz w:val="20"/>
                <w:szCs w:val="20"/>
              </w:rPr>
            </w:pPr>
            <w:r>
              <w:rPr>
                <w:rFonts w:hint="eastAsia" w:ascii="宋体" w:hAnsi="宋体"/>
                <w:bCs/>
                <w:kern w:val="0"/>
                <w:sz w:val="20"/>
                <w:szCs w:val="20"/>
              </w:rPr>
              <w:t>总  价（元）</w:t>
            </w:r>
          </w:p>
        </w:tc>
        <w:tc>
          <w:tcPr>
            <w:tcW w:w="7609" w:type="dxa"/>
            <w:gridSpan w:val="7"/>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kern w:val="0"/>
                <w:sz w:val="20"/>
                <w:szCs w:val="20"/>
              </w:rPr>
              <w:t>　</w:t>
            </w:r>
          </w:p>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360" w:hRule="atLeast"/>
          <w:jc w:val="center"/>
        </w:trPr>
        <w:tc>
          <w:tcPr>
            <w:tcW w:w="201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bCs/>
                <w:kern w:val="0"/>
                <w:sz w:val="20"/>
                <w:szCs w:val="20"/>
              </w:rPr>
            </w:pPr>
            <w:r>
              <w:rPr>
                <w:rFonts w:hint="eastAsia" w:ascii="宋体" w:hAnsi="宋体"/>
                <w:bCs/>
                <w:kern w:val="0"/>
                <w:sz w:val="20"/>
                <w:szCs w:val="20"/>
              </w:rPr>
              <w:t>工  期（天）</w:t>
            </w:r>
          </w:p>
        </w:tc>
        <w:tc>
          <w:tcPr>
            <w:tcW w:w="7609" w:type="dxa"/>
            <w:gridSpan w:val="7"/>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32" w:hRule="atLeast"/>
          <w:jc w:val="center"/>
        </w:trPr>
        <w:tc>
          <w:tcPr>
            <w:tcW w:w="201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Theme="minorEastAsia"/>
                <w:bCs/>
                <w:kern w:val="0"/>
                <w:sz w:val="20"/>
                <w:szCs w:val="20"/>
                <w:lang w:val="en-US" w:eastAsia="zh-CN"/>
              </w:rPr>
            </w:pPr>
            <w:r>
              <w:rPr>
                <w:rFonts w:hint="eastAsia" w:ascii="宋体" w:hAnsi="宋体"/>
                <w:bCs/>
                <w:kern w:val="0"/>
                <w:sz w:val="20"/>
                <w:szCs w:val="20"/>
                <w:lang w:val="en-US" w:eastAsia="zh-CN"/>
              </w:rPr>
              <w:t>质保期</w:t>
            </w:r>
          </w:p>
        </w:tc>
        <w:tc>
          <w:tcPr>
            <w:tcW w:w="7609" w:type="dxa"/>
            <w:gridSpan w:val="7"/>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bookmarkStart w:id="186" w:name="_GoBack"/>
            <w:bookmarkEnd w:id="186"/>
          </w:p>
        </w:tc>
      </w:tr>
    </w:tbl>
    <w:p>
      <w:pPr>
        <w:snapToGrid w:val="0"/>
        <w:spacing w:line="500" w:lineRule="exact"/>
        <w:ind w:firstLine="480" w:firstLineChars="2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注：</w:t>
      </w:r>
      <w:r>
        <w:rPr>
          <w:rFonts w:hint="eastAsia" w:ascii="方正仿宋_GBK" w:hAnsi="宋体" w:eastAsia="方正仿宋_GBK" w:cs="Times New Roman"/>
          <w:color w:val="auto"/>
          <w:sz w:val="24"/>
          <w:szCs w:val="28"/>
          <w:lang w:val="en-US" w:eastAsia="zh-CN"/>
        </w:rPr>
        <w:t>1、</w:t>
      </w:r>
      <w:r>
        <w:rPr>
          <w:rFonts w:hint="eastAsia" w:ascii="方正仿宋_GBK" w:hAnsi="宋体" w:eastAsia="方正仿宋_GBK" w:cs="Times New Roman"/>
          <w:color w:val="auto"/>
          <w:sz w:val="24"/>
          <w:szCs w:val="28"/>
        </w:rPr>
        <w:t>报价表中电缆数量为预估值，服务方根据现场勘查情况填写具体实际数量，报价包含但不限于货款、安装费、调试费、人工费、税金、管理费等所有费用。</w:t>
      </w: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2、</w:t>
      </w:r>
      <w:r>
        <w:rPr>
          <w:rFonts w:hint="eastAsia" w:ascii="方正仿宋_GBK" w:hAnsi="宋体" w:eastAsia="方正仿宋_GBK" w:cs="Times New Roman"/>
          <w:color w:val="auto"/>
          <w:sz w:val="24"/>
          <w:szCs w:val="28"/>
        </w:rPr>
        <w:t>请供应商</w:t>
      </w:r>
      <w:r>
        <w:rPr>
          <w:rFonts w:hint="eastAsia" w:ascii="方正仿宋_GBK" w:hAnsi="宋体" w:eastAsia="方正仿宋_GBK" w:cs="Times New Roman"/>
          <w:b/>
          <w:bCs/>
          <w:color w:val="auto"/>
          <w:sz w:val="24"/>
          <w:szCs w:val="28"/>
        </w:rPr>
        <w:t>完整填写</w:t>
      </w:r>
      <w:r>
        <w:rPr>
          <w:rFonts w:hint="eastAsia" w:ascii="方正仿宋_GBK" w:hAnsi="宋体" w:eastAsia="方正仿宋_GBK" w:cs="Times New Roman"/>
          <w:color w:val="auto"/>
          <w:sz w:val="24"/>
          <w:szCs w:val="28"/>
        </w:rPr>
        <w:t>本表。</w:t>
      </w:r>
    </w:p>
    <w:p>
      <w:pPr>
        <w:numPr>
          <w:ilvl w:val="0"/>
          <w:numId w:val="0"/>
        </w:numPr>
        <w:snapToGrid w:val="0"/>
        <w:spacing w:line="50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3、</w:t>
      </w:r>
      <w:r>
        <w:rPr>
          <w:rFonts w:hint="eastAsia" w:ascii="方正仿宋_GBK" w:hAnsi="宋体" w:eastAsia="方正仿宋_GBK" w:cs="Times New Roman"/>
          <w:color w:val="auto"/>
          <w:sz w:val="24"/>
          <w:szCs w:val="28"/>
        </w:rPr>
        <w:t>该表可扩展</w:t>
      </w:r>
      <w:bookmarkStart w:id="164" w:name="OLE_LINK2"/>
      <w:bookmarkStart w:id="165" w:name="OLE_LINK1"/>
      <w:r>
        <w:rPr>
          <w:rFonts w:hint="eastAsia" w:ascii="方正仿宋_GBK" w:hAnsi="宋体" w:eastAsia="方正仿宋_GBK" w:cs="Times New Roman"/>
          <w:color w:val="auto"/>
          <w:sz w:val="24"/>
          <w:szCs w:val="28"/>
        </w:rPr>
        <w:t>，并逐页签字或盖章。</w:t>
      </w:r>
      <w:bookmarkEnd w:id="164"/>
      <w:bookmarkEnd w:id="165"/>
    </w:p>
    <w:p>
      <w:pPr>
        <w:spacing w:line="360" w:lineRule="auto"/>
        <w:jc w:val="center"/>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66" w:name="_Toc342913420"/>
      <w:bookmarkStart w:id="167" w:name="_Toc480979019"/>
      <w:bookmarkStart w:id="168" w:name="_Toc313888361"/>
      <w:bookmarkStart w:id="169" w:name="_Toc313008357"/>
      <w:bookmarkStart w:id="170" w:name="_Toc485108797"/>
      <w:r>
        <w:rPr>
          <w:rFonts w:hint="eastAsia"/>
          <w:b/>
          <w:color w:val="auto"/>
        </w:rPr>
        <w:t>二、服务部分</w:t>
      </w:r>
      <w:bookmarkEnd w:id="166"/>
      <w:bookmarkEnd w:id="167"/>
      <w:bookmarkEnd w:id="168"/>
      <w:bookmarkEnd w:id="169"/>
      <w:bookmarkEnd w:id="170"/>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71" w:name="_Toc342913421"/>
      <w:bookmarkStart w:id="172" w:name="_Toc480979020"/>
      <w:bookmarkStart w:id="173" w:name="_Toc313008358"/>
      <w:bookmarkStart w:id="174" w:name="_Toc313888362"/>
      <w:bookmarkStart w:id="175" w:name="_Toc485108798"/>
      <w:r>
        <w:rPr>
          <w:rFonts w:hint="eastAsia"/>
          <w:b/>
          <w:color w:val="auto"/>
        </w:rPr>
        <w:t>三、商务部分</w:t>
      </w:r>
      <w:bookmarkEnd w:id="171"/>
      <w:bookmarkEnd w:id="172"/>
      <w:bookmarkEnd w:id="173"/>
      <w:bookmarkEnd w:id="174"/>
      <w:bookmarkEnd w:id="175"/>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76"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76"/>
      <w:bookmarkStart w:id="177" w:name="_Toc313008359"/>
      <w:bookmarkStart w:id="178" w:name="_Toc313888363"/>
      <w:bookmarkStart w:id="179"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77"/>
      <w:bookmarkEnd w:id="178"/>
      <w:bookmarkEnd w:id="179"/>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80" w:name="OLE_LINK4"/>
      <w:bookmarkStart w:id="181"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80"/>
    <w:bookmarkEnd w:id="181"/>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Style w:val="2"/>
        <w:bidi w:val="0"/>
        <w:jc w:val="center"/>
        <w:rPr>
          <w:rFonts w:hint="eastAsia" w:ascii="微软雅黑" w:hAnsi="微软雅黑" w:eastAsia="微软雅黑" w:cs="微软雅黑"/>
          <w:color w:val="auto"/>
          <w:sz w:val="36"/>
          <w:szCs w:val="36"/>
          <w:lang w:val="en-US" w:eastAsia="zh-CN"/>
        </w:rPr>
      </w:pPr>
      <w:bookmarkStart w:id="182" w:name="_Toc23716"/>
      <w:bookmarkStart w:id="183" w:name="_Toc27256"/>
      <w:r>
        <w:rPr>
          <w:rFonts w:hint="eastAsia" w:ascii="微软雅黑" w:hAnsi="微软雅黑" w:eastAsia="微软雅黑" w:cs="微软雅黑"/>
          <w:color w:val="auto"/>
          <w:sz w:val="36"/>
          <w:szCs w:val="36"/>
          <w:lang w:val="en-US" w:eastAsia="zh-CN"/>
        </w:rPr>
        <w:t>重庆医科大学附属永川医院</w:t>
      </w:r>
      <w:bookmarkEnd w:id="182"/>
    </w:p>
    <w:p>
      <w:pPr>
        <w:pStyle w:val="2"/>
        <w:bidi w:val="0"/>
        <w:jc w:val="center"/>
        <w:rPr>
          <w:rFonts w:hint="eastAsia" w:ascii="微软雅黑" w:hAnsi="微软雅黑" w:eastAsia="微软雅黑" w:cs="微软雅黑"/>
          <w:color w:val="auto"/>
          <w:sz w:val="36"/>
          <w:szCs w:val="36"/>
          <w:lang w:val="en-US" w:eastAsia="zh-CN"/>
        </w:rPr>
      </w:pPr>
      <w:bookmarkStart w:id="184" w:name="_Toc23798"/>
      <w:r>
        <w:rPr>
          <w:rFonts w:hint="eastAsia" w:ascii="微软雅黑" w:hAnsi="微软雅黑" w:eastAsia="微软雅黑" w:cs="微软雅黑"/>
          <w:color w:val="auto"/>
          <w:sz w:val="36"/>
          <w:szCs w:val="36"/>
          <w:lang w:val="en-US" w:eastAsia="zh-CN"/>
        </w:rPr>
        <w:t>参加医院院内采购活动来院人员</w:t>
      </w:r>
      <w:bookmarkEnd w:id="184"/>
    </w:p>
    <w:p>
      <w:pPr>
        <w:pStyle w:val="2"/>
        <w:bidi w:val="0"/>
        <w:jc w:val="center"/>
        <w:rPr>
          <w:rFonts w:hint="eastAsia" w:ascii="微软雅黑" w:hAnsi="微软雅黑" w:eastAsia="微软雅黑" w:cs="微软雅黑"/>
          <w:color w:val="auto"/>
          <w:sz w:val="36"/>
          <w:szCs w:val="36"/>
          <w:lang w:eastAsia="zh-CN"/>
        </w:rPr>
      </w:pPr>
      <w:bookmarkStart w:id="185" w:name="_Toc27460"/>
      <w:r>
        <w:rPr>
          <w:rFonts w:hint="eastAsia" w:ascii="微软雅黑" w:hAnsi="微软雅黑" w:eastAsia="微软雅黑" w:cs="微软雅黑"/>
          <w:color w:val="auto"/>
          <w:sz w:val="36"/>
          <w:szCs w:val="36"/>
        </w:rPr>
        <w:t>新冠肺炎疫情防控工作</w:t>
      </w:r>
      <w:r>
        <w:rPr>
          <w:rFonts w:hint="eastAsia" w:ascii="微软雅黑" w:hAnsi="微软雅黑" w:eastAsia="微软雅黑" w:cs="微软雅黑"/>
          <w:color w:val="auto"/>
          <w:sz w:val="36"/>
          <w:szCs w:val="36"/>
          <w:lang w:eastAsia="zh-CN"/>
        </w:rPr>
        <w:t>告知书</w:t>
      </w:r>
      <w:bookmarkEnd w:id="183"/>
      <w:bookmarkEnd w:id="185"/>
    </w:p>
    <w:p>
      <w:pPr>
        <w:pStyle w:val="35"/>
        <w:rPr>
          <w:rFonts w:hint="eastAsia"/>
          <w:color w:val="auto"/>
          <w:lang w:eastAsia="zh-CN"/>
        </w:rPr>
      </w:pPr>
    </w:p>
    <w:p>
      <w:pPr>
        <w:pStyle w:val="35"/>
        <w:rPr>
          <w:rFonts w:hint="eastAsia"/>
          <w:color w:val="auto"/>
        </w:rPr>
      </w:pP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为切实保障</w:t>
      </w:r>
      <w:r>
        <w:rPr>
          <w:rFonts w:hint="eastAsia" w:ascii="方正仿宋_GBK" w:hAnsi="宋体" w:eastAsia="方正仿宋_GBK" w:cs="Times New Roman"/>
          <w:color w:val="auto"/>
          <w:sz w:val="24"/>
          <w:szCs w:val="24"/>
          <w:lang w:eastAsia="zh-CN"/>
        </w:rPr>
        <w:t>本院疫情防控安全，维持正常工作</w:t>
      </w:r>
      <w:r>
        <w:rPr>
          <w:rFonts w:hint="eastAsia" w:ascii="方正仿宋_GBK" w:hAnsi="宋体" w:eastAsia="方正仿宋_GBK" w:cs="Times New Roman"/>
          <w:color w:val="auto"/>
          <w:sz w:val="24"/>
          <w:szCs w:val="24"/>
        </w:rPr>
        <w:t>秩序，根据《</w:t>
      </w:r>
      <w:r>
        <w:rPr>
          <w:rFonts w:hint="default" w:ascii="方正仿宋_GBK" w:hAnsi="宋体" w:eastAsia="方正仿宋_GBK" w:cs="Times New Roman"/>
          <w:color w:val="auto"/>
          <w:sz w:val="24"/>
          <w:szCs w:val="24"/>
          <w:lang w:val="en-US" w:eastAsia="zh-CN"/>
        </w:rPr>
        <w:t>关于做好</w:t>
      </w:r>
      <w:r>
        <w:rPr>
          <w:rFonts w:hint="eastAsia" w:ascii="方正仿宋_GBK" w:hAnsi="宋体" w:eastAsia="方正仿宋_GBK" w:cs="Times New Roman"/>
          <w:color w:val="auto"/>
          <w:sz w:val="24"/>
          <w:szCs w:val="24"/>
          <w:lang w:val="en-US" w:eastAsia="zh-CN"/>
        </w:rPr>
        <w:t>当前国内重点地区</w:t>
      </w:r>
      <w:r>
        <w:rPr>
          <w:rFonts w:hint="default" w:ascii="方正仿宋_GBK" w:hAnsi="宋体" w:eastAsia="方正仿宋_GBK" w:cs="Times New Roman"/>
          <w:color w:val="auto"/>
          <w:sz w:val="24"/>
          <w:szCs w:val="24"/>
          <w:lang w:eastAsia="zh-CN"/>
        </w:rPr>
        <w:t>来渝返渝人员</w:t>
      </w:r>
      <w:r>
        <w:rPr>
          <w:rFonts w:hint="eastAsia" w:ascii="方正仿宋_GBK" w:hAnsi="宋体" w:eastAsia="方正仿宋_GBK" w:cs="Times New Roman"/>
          <w:color w:val="auto"/>
          <w:sz w:val="24"/>
          <w:szCs w:val="24"/>
          <w:lang w:val="en-US" w:eastAsia="zh-CN"/>
        </w:rPr>
        <w:t>健康管理</w:t>
      </w:r>
      <w:r>
        <w:rPr>
          <w:rFonts w:hint="default" w:ascii="方正仿宋_GBK" w:hAnsi="宋体" w:eastAsia="方正仿宋_GBK" w:cs="Times New Roman"/>
          <w:color w:val="auto"/>
          <w:sz w:val="24"/>
          <w:szCs w:val="24"/>
          <w:lang w:eastAsia="zh-CN"/>
        </w:rPr>
        <w:t>的通知</w:t>
      </w:r>
      <w:r>
        <w:rPr>
          <w:rFonts w:hint="eastAsia" w:ascii="方正仿宋_GBK" w:hAnsi="宋体" w:eastAsia="方正仿宋_GBK" w:cs="Times New Roman"/>
          <w:color w:val="auto"/>
          <w:sz w:val="24"/>
          <w:szCs w:val="24"/>
        </w:rPr>
        <w:t>》（</w:t>
      </w:r>
      <w:r>
        <w:rPr>
          <w:rFonts w:hint="default" w:ascii="方正仿宋_GBK" w:hAnsi="宋体" w:eastAsia="方正仿宋_GBK" w:cs="Times New Roman"/>
          <w:color w:val="auto"/>
          <w:sz w:val="24"/>
          <w:szCs w:val="24"/>
          <w:lang w:eastAsia="zh-CN"/>
        </w:rPr>
        <w:t>渝肺炎组疫发〔202</w:t>
      </w:r>
      <w:r>
        <w:rPr>
          <w:rFonts w:hint="eastAsia" w:ascii="方正仿宋_GBK" w:hAnsi="宋体" w:eastAsia="方正仿宋_GBK" w:cs="Times New Roman"/>
          <w:color w:val="auto"/>
          <w:sz w:val="24"/>
          <w:szCs w:val="24"/>
          <w:lang w:val="en-US" w:eastAsia="zh-CN"/>
        </w:rPr>
        <w:t>2</w:t>
      </w:r>
      <w:r>
        <w:rPr>
          <w:rFonts w:hint="default"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default" w:ascii="方正仿宋_GBK" w:hAnsi="宋体" w:eastAsia="方正仿宋_GBK" w:cs="Times New Roman"/>
          <w:color w:val="auto"/>
          <w:sz w:val="24"/>
          <w:szCs w:val="24"/>
          <w:lang w:eastAsia="zh-CN"/>
        </w:rPr>
        <w:t>号</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《疫情期间工作人员离永返永返岗管理制度的通知》</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重医永川医院肺炎组〔2021〕13号），结</w:t>
      </w:r>
      <w:r>
        <w:rPr>
          <w:rFonts w:hint="eastAsia" w:ascii="方正仿宋_GBK" w:hAnsi="宋体" w:eastAsia="方正仿宋_GBK" w:cs="Times New Roman"/>
          <w:color w:val="auto"/>
          <w:sz w:val="24"/>
          <w:szCs w:val="24"/>
          <w:lang w:eastAsia="zh-CN"/>
        </w:rPr>
        <w:t>合本院实际，</w:t>
      </w:r>
      <w:r>
        <w:rPr>
          <w:rFonts w:hint="eastAsia" w:ascii="方正仿宋_GBK" w:hAnsi="宋体" w:eastAsia="方正仿宋_GBK" w:cs="Times New Roman"/>
          <w:color w:val="auto"/>
          <w:sz w:val="24"/>
          <w:szCs w:val="24"/>
        </w:rPr>
        <w:t>现就持续统筹做好疫情防控工作</w:t>
      </w:r>
      <w:r>
        <w:rPr>
          <w:rFonts w:hint="eastAsia" w:ascii="方正仿宋_GBK" w:hAnsi="宋体" w:eastAsia="方正仿宋_GBK" w:cs="Times New Roman"/>
          <w:color w:val="auto"/>
          <w:sz w:val="24"/>
          <w:szCs w:val="24"/>
          <w:lang w:eastAsia="zh-CN"/>
        </w:rPr>
        <w:t>告知</w:t>
      </w:r>
      <w:r>
        <w:rPr>
          <w:rFonts w:hint="eastAsia" w:ascii="方正仿宋_GBK" w:hAnsi="宋体" w:eastAsia="方正仿宋_GBK" w:cs="Times New Roman"/>
          <w:color w:val="auto"/>
          <w:sz w:val="24"/>
          <w:szCs w:val="24"/>
        </w:rPr>
        <w:t>如下</w:t>
      </w:r>
      <w:r>
        <w:rPr>
          <w:rFonts w:hint="eastAsia" w:ascii="方正仿宋_GBK" w:hAnsi="宋体" w:eastAsia="方正仿宋_GBK" w:cs="Times New Roman"/>
          <w:color w:val="auto"/>
          <w:sz w:val="24"/>
          <w:szCs w:val="24"/>
          <w:lang w:eastAsia="zh-CN"/>
        </w:rPr>
        <w:t>，请配合完成。</w:t>
      </w:r>
    </w:p>
    <w:p>
      <w:pPr>
        <w:widowControl/>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1、所有到重庆医科大学附属永川医院参加采购相关活动的人员，均参照本医院职工疫情管理规定执行。</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境内重点地区来渝返渝人员</w:t>
      </w:r>
      <w:r>
        <w:rPr>
          <w:rFonts w:hint="eastAsia" w:ascii="方正仿宋_GBK" w:hAnsi="宋体" w:eastAsia="方正仿宋_GBK" w:cs="Times New Roman"/>
          <w:color w:val="auto"/>
          <w:sz w:val="24"/>
          <w:szCs w:val="24"/>
          <w:lang w:eastAsia="zh-CN"/>
        </w:rPr>
        <w:t>实行</w:t>
      </w:r>
      <w:r>
        <w:rPr>
          <w:rFonts w:hint="eastAsia" w:ascii="方正仿宋_GBK" w:hAnsi="宋体" w:eastAsia="方正仿宋_GBK" w:cs="Times New Roman"/>
          <w:color w:val="auto"/>
          <w:sz w:val="24"/>
          <w:szCs w:val="24"/>
        </w:rPr>
        <w:t>分类管理</w:t>
      </w:r>
      <w:r>
        <w:rPr>
          <w:rFonts w:hint="eastAsia" w:ascii="方正仿宋_GBK" w:hAnsi="宋体" w:eastAsia="方正仿宋_GBK" w:cs="Times New Roman"/>
          <w:color w:val="auto"/>
          <w:sz w:val="24"/>
          <w:szCs w:val="24"/>
          <w:lang w:eastAsia="zh-CN"/>
        </w:rPr>
        <w:t>，具体如下：</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对高、中风险区来渝返渝人员和外省（区、市）确定的特定时段、特定空间高风险人群，施行集中隔离医学观察，第1、4、7、10、14天各做1次核酸检测。</w:t>
      </w:r>
      <w:r>
        <w:rPr>
          <w:rFonts w:hint="eastAsia" w:ascii="方正仿宋_GBK" w:hAnsi="宋体" w:eastAsia="方正仿宋_GBK" w:cs="Times New Roman"/>
          <w:color w:val="auto"/>
          <w:sz w:val="24"/>
          <w:szCs w:val="24"/>
          <w:lang w:eastAsia="zh-CN"/>
        </w:rPr>
        <w:t>到本院办事须持集中医学观察期间</w:t>
      </w:r>
      <w:r>
        <w:rPr>
          <w:rFonts w:hint="eastAsia" w:ascii="方正仿宋_GBK" w:hAnsi="宋体" w:eastAsia="方正仿宋_GBK" w:cs="Times New Roman"/>
          <w:color w:val="auto"/>
          <w:sz w:val="24"/>
          <w:szCs w:val="24"/>
          <w:lang w:val="en-US" w:eastAsia="zh-CN"/>
        </w:rPr>
        <w:t>5次核酸阴性证明+</w:t>
      </w:r>
      <w:r>
        <w:rPr>
          <w:rFonts w:hint="eastAsia" w:ascii="方正仿宋_GBK" w:hAnsi="宋体" w:eastAsia="方正仿宋_GBK" w:cs="Times New Roman"/>
          <w:color w:val="auto"/>
          <w:sz w:val="24"/>
          <w:szCs w:val="24"/>
          <w:lang w:eastAsia="zh-CN"/>
        </w:rPr>
        <w:t>解除隔离证明</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无法提供者严禁到本院办事。</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对高风险区所在县（市、区）的其他低风险地区来渝返渝人员，施行7天居家隔离+7天健康监测（第1、7、10、14天各做1次核酸检测）。</w:t>
      </w:r>
      <w:r>
        <w:rPr>
          <w:rFonts w:hint="eastAsia" w:ascii="方正仿宋_GBK" w:hAnsi="宋体" w:eastAsia="方正仿宋_GBK" w:cs="Times New Roman"/>
          <w:color w:val="auto"/>
          <w:sz w:val="24"/>
          <w:szCs w:val="24"/>
          <w:lang w:eastAsia="zh-CN"/>
        </w:rPr>
        <w:t>到本院办事须持居家隔离和健康监测期间</w:t>
      </w:r>
      <w:r>
        <w:rPr>
          <w:rFonts w:hint="eastAsia" w:ascii="方正仿宋_GBK" w:hAnsi="宋体" w:eastAsia="方正仿宋_GBK" w:cs="Times New Roman"/>
          <w:color w:val="auto"/>
          <w:sz w:val="24"/>
          <w:szCs w:val="24"/>
          <w:lang w:val="en-US" w:eastAsia="zh-CN"/>
        </w:rPr>
        <w:t>4次核酸阴性证明</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对中风险区所在县（市、区）的其他低风险区来渝返渝人员和外省（区、市）高风险岗位的来渝返渝人员（自行申报），实施14天自我健康监测（第1、7、10、14天各做1次核酸检测，前</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次检测结果出来之前原则上居家观察）。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前2次核酸阴性证明+健康绿码+行程码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对高、中风险区所在地市的其他县（市、区）来渝返渝人员和未划定高、中风险区但出现本土病例的所在地市来渝返渝人员，实施7天自我健康监测（在</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天内完成2次核酸检测，2次采样间隔至少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小时，2次检测结果出来前原则上居家观察）。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default" w:ascii="方正仿宋_GBK" w:hAnsi="宋体" w:eastAsia="方正仿宋_GBK" w:cs="Times New Roman"/>
          <w:color w:val="auto"/>
          <w:sz w:val="24"/>
          <w:szCs w:val="24"/>
          <w:lang w:val="en-US" w:eastAsia="zh-CN"/>
        </w:rPr>
      </w:pPr>
      <w:r>
        <w:rPr>
          <w:rFonts w:hint="default" w:ascii="方正仿宋_GBK" w:hAnsi="宋体" w:eastAsia="方正仿宋_GBK" w:cs="Times New Roman"/>
          <w:color w:val="auto"/>
          <w:sz w:val="24"/>
          <w:szCs w:val="24"/>
        </w:rPr>
        <w:t>（5）除外上述情形的市外低风险区来渝返渝人员，参照第（4）条执行</w:t>
      </w:r>
      <w:r>
        <w:rPr>
          <w:rFonts w:hint="eastAsia" w:ascii="方正仿宋_GBK" w:hAnsi="宋体" w:eastAsia="方正仿宋_GBK" w:cs="Times New Roman"/>
          <w:color w:val="auto"/>
          <w:sz w:val="24"/>
          <w:szCs w:val="24"/>
          <w:lang w:eastAsia="zh-CN"/>
        </w:rPr>
        <w:t>，原则上需</w:t>
      </w:r>
      <w:r>
        <w:rPr>
          <w:rFonts w:hint="eastAsia" w:ascii="方正仿宋_GBK" w:hAnsi="宋体" w:eastAsia="方正仿宋_GBK" w:cs="Times New Roman"/>
          <w:color w:val="auto"/>
          <w:sz w:val="24"/>
          <w:szCs w:val="24"/>
          <w:lang w:val="en-US" w:eastAsia="zh-CN"/>
        </w:rPr>
        <w:t>进行</w:t>
      </w:r>
      <w:r>
        <w:rPr>
          <w:rFonts w:hint="eastAsia" w:ascii="方正仿宋_GBK" w:hAnsi="宋体" w:eastAsia="方正仿宋_GBK" w:cs="Times New Roman"/>
          <w:color w:val="auto"/>
          <w:sz w:val="24"/>
          <w:szCs w:val="24"/>
        </w:rPr>
        <w:t>2次</w:t>
      </w:r>
      <w:r>
        <w:rPr>
          <w:rFonts w:hint="eastAsia" w:ascii="方正仿宋_GBK" w:hAnsi="宋体" w:eastAsia="方正仿宋_GBK" w:cs="Times New Roman"/>
          <w:color w:val="auto"/>
          <w:sz w:val="24"/>
          <w:szCs w:val="24"/>
          <w:lang w:eastAsia="zh-CN"/>
        </w:rPr>
        <w:t>核酸</w:t>
      </w:r>
      <w:r>
        <w:rPr>
          <w:rFonts w:hint="eastAsia" w:ascii="方正仿宋_GBK" w:hAnsi="宋体" w:eastAsia="方正仿宋_GBK" w:cs="Times New Roman"/>
          <w:color w:val="auto"/>
          <w:sz w:val="24"/>
          <w:szCs w:val="24"/>
        </w:rPr>
        <w:t>检测</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eastAsia="zh-CN"/>
        </w:rPr>
        <w:t>）且</w:t>
      </w:r>
      <w:r>
        <w:rPr>
          <w:rFonts w:hint="eastAsia" w:ascii="方正仿宋_GBK" w:hAnsi="宋体" w:eastAsia="方正仿宋_GBK" w:cs="Times New Roman"/>
          <w:color w:val="auto"/>
          <w:sz w:val="24"/>
          <w:szCs w:val="24"/>
        </w:rPr>
        <w:t>结果</w:t>
      </w:r>
      <w:r>
        <w:rPr>
          <w:rFonts w:hint="eastAsia" w:ascii="方正仿宋_GBK" w:hAnsi="宋体" w:eastAsia="方正仿宋_GBK" w:cs="Times New Roman"/>
          <w:color w:val="auto"/>
          <w:sz w:val="24"/>
          <w:szCs w:val="24"/>
          <w:lang w:eastAsia="zh-CN"/>
        </w:rPr>
        <w:t>阴性方可来本院办事，到本院办事须持</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color w:val="auto"/>
        </w:rPr>
      </w:pPr>
      <w:r>
        <w:rPr>
          <w:rFonts w:hint="eastAsia" w:ascii="方正仿宋_GBK" w:hAnsi="宋体" w:eastAsia="方正仿宋_GBK" w:cs="Times New Roman"/>
          <w:color w:val="auto"/>
          <w:sz w:val="24"/>
          <w:szCs w:val="24"/>
          <w:lang w:val="en-US" w:eastAsia="zh-CN"/>
        </w:rPr>
        <w:t>3、重庆市内人员持48小时内核酸检测阴性证明+健康绿码+行程码。如重庆市发现本土疫情，则严格按照上级要求执行相关管理规定。</w:t>
      </w:r>
    </w:p>
    <w:p>
      <w:pPr>
        <w:rPr>
          <w:color w:val="auto"/>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4DA26C6"/>
    <w:rsid w:val="07F26429"/>
    <w:rsid w:val="0ACF458A"/>
    <w:rsid w:val="0E0E625A"/>
    <w:rsid w:val="0E4D3D6E"/>
    <w:rsid w:val="0E5721EA"/>
    <w:rsid w:val="0E5A796A"/>
    <w:rsid w:val="0FAB0EE6"/>
    <w:rsid w:val="104D689B"/>
    <w:rsid w:val="109D57E0"/>
    <w:rsid w:val="134E0964"/>
    <w:rsid w:val="14C6168E"/>
    <w:rsid w:val="18130842"/>
    <w:rsid w:val="1CED540D"/>
    <w:rsid w:val="1D632E00"/>
    <w:rsid w:val="1DD87EDC"/>
    <w:rsid w:val="1F6D6E4A"/>
    <w:rsid w:val="1FCE723D"/>
    <w:rsid w:val="204C6181"/>
    <w:rsid w:val="20FB0BC7"/>
    <w:rsid w:val="21C45BE8"/>
    <w:rsid w:val="23743B1F"/>
    <w:rsid w:val="25B7688A"/>
    <w:rsid w:val="25B91E1A"/>
    <w:rsid w:val="26380176"/>
    <w:rsid w:val="275D539C"/>
    <w:rsid w:val="28CD4235"/>
    <w:rsid w:val="2BBD2276"/>
    <w:rsid w:val="2F2348BD"/>
    <w:rsid w:val="2F6F1AD9"/>
    <w:rsid w:val="2FD06C0B"/>
    <w:rsid w:val="30A44277"/>
    <w:rsid w:val="32050A97"/>
    <w:rsid w:val="3361798A"/>
    <w:rsid w:val="35E87A5C"/>
    <w:rsid w:val="369E4A52"/>
    <w:rsid w:val="38442273"/>
    <w:rsid w:val="38C010B0"/>
    <w:rsid w:val="391C67AE"/>
    <w:rsid w:val="39A3534F"/>
    <w:rsid w:val="3B30241A"/>
    <w:rsid w:val="3C4F6F1A"/>
    <w:rsid w:val="41007A8F"/>
    <w:rsid w:val="42030507"/>
    <w:rsid w:val="461B60BF"/>
    <w:rsid w:val="475461C4"/>
    <w:rsid w:val="492C6FBB"/>
    <w:rsid w:val="499D1F70"/>
    <w:rsid w:val="4A1025A8"/>
    <w:rsid w:val="4AD41B9B"/>
    <w:rsid w:val="4BE8259F"/>
    <w:rsid w:val="4C4E289A"/>
    <w:rsid w:val="4F2E0C11"/>
    <w:rsid w:val="514069D9"/>
    <w:rsid w:val="51D77CAA"/>
    <w:rsid w:val="52ED493F"/>
    <w:rsid w:val="55297C80"/>
    <w:rsid w:val="56FF2E93"/>
    <w:rsid w:val="59E56370"/>
    <w:rsid w:val="5B3E21DC"/>
    <w:rsid w:val="5BC414F3"/>
    <w:rsid w:val="5CAE15E3"/>
    <w:rsid w:val="5F3F2DAC"/>
    <w:rsid w:val="6022194E"/>
    <w:rsid w:val="611A50B4"/>
    <w:rsid w:val="619C43F3"/>
    <w:rsid w:val="6269072D"/>
    <w:rsid w:val="62A30CCB"/>
    <w:rsid w:val="6972525B"/>
    <w:rsid w:val="6B217424"/>
    <w:rsid w:val="6B28360F"/>
    <w:rsid w:val="6B9F4D55"/>
    <w:rsid w:val="6DC70D5C"/>
    <w:rsid w:val="70E64A50"/>
    <w:rsid w:val="71231A63"/>
    <w:rsid w:val="73B34AD5"/>
    <w:rsid w:val="783A1618"/>
    <w:rsid w:val="7908485F"/>
    <w:rsid w:val="793F0B2C"/>
    <w:rsid w:val="797D07AB"/>
    <w:rsid w:val="7B306E47"/>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15551</Words>
  <Characters>15992</Characters>
  <Lines>182</Lines>
  <Paragraphs>51</Paragraphs>
  <TotalTime>3</TotalTime>
  <ScaleCrop>false</ScaleCrop>
  <LinksUpToDate>false</LinksUpToDate>
  <CharactersWithSpaces>17046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2022-11-10T08:54:35Z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D90EFDEDCD294DEAB041A069E42458C9</vt:lpwstr>
  </property>
</Properties>
</file>