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2022FW035</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电视机维修服务</w:t>
      </w: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二〇二二年</w:t>
      </w:r>
      <w:r>
        <w:rPr>
          <w:rFonts w:hint="eastAsia" w:ascii="方正小标宋_GBK" w:hAnsi="宋体" w:eastAsia="方正小标宋_GBK" w:cs="Times New Roman"/>
          <w:color w:val="auto"/>
          <w:sz w:val="28"/>
          <w:szCs w:val="28"/>
          <w:lang w:val="en-US" w:eastAsia="zh-CN"/>
        </w:rPr>
        <w:t>九</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_Toc279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_Toc15905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w:t>
      </w:r>
      <w:r>
        <w:rPr>
          <w:rFonts w:hint="eastAsia" w:ascii="微软雅黑" w:hAnsi="微软雅黑" w:eastAsia="微软雅黑" w:cs="微软雅黑"/>
          <w:color w:val="auto"/>
          <w:szCs w:val="24"/>
          <w:lang w:eastAsia="zh-CN"/>
        </w:rPr>
        <w:t>验收方式</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五</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lang w:val="en-US" w:eastAsia="zh-CN"/>
        </w:rPr>
        <w:t>重庆医科大学附属永川医院参加医院院内采购活动来院人员</w:t>
      </w:r>
      <w:r>
        <w:rPr>
          <w:rFonts w:hint="eastAsia" w:ascii="微软雅黑" w:hAnsi="微软雅黑" w:eastAsia="微软雅黑" w:cs="微软雅黑"/>
          <w:color w:val="auto"/>
          <w:szCs w:val="36"/>
        </w:rPr>
        <w:t>新冠肺炎疫情防控工作</w:t>
      </w:r>
      <w:r>
        <w:rPr>
          <w:rFonts w:hint="eastAsia" w:ascii="微软雅黑" w:hAnsi="微软雅黑" w:eastAsia="微软雅黑" w:cs="微软雅黑"/>
          <w:color w:val="auto"/>
          <w:szCs w:val="36"/>
          <w:lang w:eastAsia="zh-CN"/>
        </w:rPr>
        <w:t>告知书</w:t>
      </w: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25875"/>
      <w:bookmarkStart w:id="1" w:name="_Toc11641050"/>
      <w:bookmarkStart w:id="2" w:name="_Toc12789052"/>
      <w:bookmarkStart w:id="3" w:name="_Toc485108766"/>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val="en-US" w:eastAsia="zh-CN"/>
        </w:rPr>
        <w:t>电视机维修服务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3893526"/>
      <w:bookmarkStart w:id="7" w:name="_Toc485108767"/>
      <w:bookmarkStart w:id="8" w:name="_Toc28443"/>
      <w:bookmarkStart w:id="9" w:name="_Toc317775175"/>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370" w:type="dxa"/>
        <w:tblInd w:w="-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9"/>
        <w:gridCol w:w="2661"/>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689"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020"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689" w:type="dxa"/>
            <w:vAlign w:val="center"/>
          </w:tcPr>
          <w:p>
            <w:pPr>
              <w:spacing w:line="400" w:lineRule="exact"/>
              <w:rPr>
                <w:rFonts w:hint="default" w:ascii="方正仿宋_GBK" w:hAnsi="宋体" w:eastAsia="方正仿宋_GBK"/>
                <w:color w:val="auto"/>
                <w:sz w:val="24"/>
                <w:szCs w:val="24"/>
                <w:lang w:val="en-US"/>
              </w:rPr>
            </w:pPr>
            <w:r>
              <w:rPr>
                <w:rFonts w:hint="eastAsia" w:ascii="方正仿宋_GBK" w:hAnsi="宋体" w:eastAsia="方正仿宋_GBK" w:cs="Times New Roman"/>
                <w:color w:val="auto"/>
                <w:sz w:val="24"/>
                <w:szCs w:val="24"/>
                <w:lang w:val="en-US" w:eastAsia="zh-CN"/>
              </w:rPr>
              <w:t>电视机维修服务</w:t>
            </w:r>
          </w:p>
        </w:tc>
        <w:tc>
          <w:tcPr>
            <w:tcW w:w="2661"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020" w:type="dxa"/>
            <w:vAlign w:val="center"/>
          </w:tcPr>
          <w:p>
            <w:pPr>
              <w:spacing w:line="400" w:lineRule="exact"/>
              <w:ind w:firstLine="480" w:firstLineChars="200"/>
              <w:rPr>
                <w:rFonts w:hint="eastAsia" w:ascii="方正仿宋_GBK" w:hAnsi="宋体" w:eastAsia="方正仿宋_GBK"/>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370" w:type="dxa"/>
            <w:gridSpan w:val="3"/>
            <w:vAlign w:val="center"/>
          </w:tcPr>
          <w:p>
            <w:pPr>
              <w:spacing w:line="400" w:lineRule="exact"/>
              <w:ind w:firstLine="480" w:firstLineChars="200"/>
              <w:rPr>
                <w:rFonts w:hint="default" w:ascii="方正仿宋_GBK" w:hAnsi="宋体" w:eastAsia="方正仿宋_GBK"/>
                <w:color w:val="auto"/>
                <w:sz w:val="24"/>
                <w:szCs w:val="24"/>
                <w:lang w:val="en-US" w:eastAsia="zh-CN"/>
              </w:rPr>
            </w:pPr>
            <w:bookmarkStart w:id="10" w:name="_Toc6609"/>
            <w:bookmarkStart w:id="11" w:name="_Toc485108768"/>
            <w:r>
              <w:rPr>
                <w:rFonts w:hint="eastAsia" w:ascii="方正仿宋_GBK" w:hAnsi="宋体" w:eastAsia="方正仿宋_GBK"/>
                <w:color w:val="auto"/>
                <w:sz w:val="24"/>
                <w:szCs w:val="24"/>
                <w:lang w:val="en-US" w:eastAsia="zh-CN"/>
              </w:rPr>
              <w:t>服务期限：三年</w:t>
            </w:r>
          </w:p>
        </w:tc>
      </w:tr>
    </w:tbl>
    <w:p>
      <w:pPr>
        <w:keepNext/>
        <w:keepLines/>
        <w:outlineLvl w:val="2"/>
        <w:rPr>
          <w:rFonts w:ascii="方正仿宋_GBK" w:hAnsi="Times New Roman" w:eastAsia="方正仿宋_GBK" w:cs="Times New Roman"/>
          <w:b/>
          <w:color w:val="auto"/>
          <w:sz w:val="24"/>
          <w:szCs w:val="24"/>
        </w:rPr>
      </w:pPr>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有效的三证合一营业执照（复印件加盖公章）。服务方需在永川区域内具有服务点。</w:t>
      </w:r>
    </w:p>
    <w:bookmarkEnd w:id="4"/>
    <w:bookmarkEnd w:id="5"/>
    <w:p>
      <w:pPr>
        <w:pStyle w:val="3"/>
        <w:spacing w:line="240" w:lineRule="auto"/>
        <w:rPr>
          <w:color w:val="auto"/>
          <w:sz w:val="24"/>
          <w:szCs w:val="24"/>
        </w:rPr>
      </w:pPr>
      <w:bookmarkStart w:id="16" w:name="_Toc11958"/>
      <w:bookmarkStart w:id="17" w:name="_Toc6"/>
      <w:bookmarkStart w:id="18" w:name="_Toc485108774"/>
      <w:bookmarkStart w:id="19" w:name="_Toc102227313"/>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30</w:t>
      </w:r>
      <w:r>
        <w:rPr>
          <w:rFonts w:hint="eastAsia" w:ascii="方正仿宋_GBK" w:hAnsi="宋体" w:eastAsia="方正仿宋_GBK" w:cs="Times New Roman"/>
          <w:color w:val="auto"/>
          <w:sz w:val="24"/>
          <w:szCs w:val="24"/>
        </w:rPr>
        <w:t>日）起三个工作日。</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（三）报名方式</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凡有意参加的供应商，请于202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30</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0</w:t>
      </w:r>
      <w:r>
        <w:rPr>
          <w:rFonts w:hint="eastAsia" w:ascii="方正仿宋_GBK" w:hAnsi="宋体" w:eastAsia="方正仿宋_GBK" w:cs="Times New Roman"/>
          <w:color w:val="auto"/>
          <w:sz w:val="24"/>
          <w:szCs w:val="24"/>
        </w:rPr>
        <w:t>0时至202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0</w:t>
      </w:r>
      <w:r>
        <w:rPr>
          <w:rFonts w:hint="eastAsia" w:ascii="方正仿宋_GBK" w:hAnsi="宋体" w:eastAsia="方正仿宋_GBK" w:cs="Times New Roman"/>
          <w:color w:val="auto"/>
          <w:sz w:val="24"/>
          <w:szCs w:val="24"/>
        </w:rPr>
        <w:t>0时（法定公休日、法定节假日除外）线上报名。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线上报名方式：</w:t>
      </w:r>
      <w:r>
        <w:rPr>
          <w:color w:val="auto"/>
        </w:rPr>
        <w:fldChar w:fldCharType="begin"/>
      </w:r>
      <w:r>
        <w:rPr>
          <w:color w:val="auto"/>
        </w:rP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rPr>
          <w:color w:val="auto"/>
        </w:rPr>
        <w:fldChar w:fldCharType="separate"/>
      </w:r>
      <w:r>
        <w:rPr>
          <w:rFonts w:hint="eastAsia" w:ascii="方正仿宋_GBK" w:hAnsi="宋体" w:eastAsia="方正仿宋_GBK" w:cs="Times New Roman"/>
          <w:color w:val="auto"/>
          <w:sz w:val="24"/>
          <w:szCs w:val="24"/>
        </w:rPr>
        <w:t>请务必将参与比选文件的采购项目名称及采购项目编号、供应商名称、联系人名称及联系方式、电子邮箱等注明，响应供应商一般资质和特定资格要求扫描后（加盖供应商公章）在报名截止时间前发送到邮箱cgb85385105@163.com。</w:t>
      </w:r>
      <w:r>
        <w:rPr>
          <w:rFonts w:hint="eastAsia" w:ascii="方正仿宋_GBK" w:hAnsi="宋体" w:eastAsia="方正仿宋_GBK" w:cs="Times New Roman"/>
          <w:color w:val="auto"/>
          <w:sz w:val="24"/>
          <w:szCs w:val="24"/>
        </w:rPr>
        <w:fldChar w:fldCharType="end"/>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left="10" w:leftChars="5"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2、按时</w:t>
      </w:r>
      <w:r>
        <w:rPr>
          <w:rFonts w:hint="eastAsia" w:ascii="方正仿宋_GBK" w:hAnsi="宋体" w:eastAsia="方正仿宋_GBK"/>
          <w:color w:val="auto"/>
          <w:sz w:val="24"/>
          <w:szCs w:val="24"/>
        </w:rPr>
        <w:t>线上报名</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spacing w:line="400" w:lineRule="exact"/>
        <w:ind w:left="10" w:leftChars="5"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（六）响应文件递交开始时间：20</w:t>
      </w:r>
      <w:r>
        <w:rPr>
          <w:rFonts w:hint="eastAsia" w:ascii="方正仿宋_GBK" w:hAnsi="宋体" w:eastAsia="方正仿宋_GBK" w:cs="Times New Roman"/>
          <w:color w:val="auto"/>
          <w:sz w:val="24"/>
          <w:szCs w:val="24"/>
          <w:lang w:val="en-US" w:eastAsia="zh-CN"/>
        </w:rPr>
        <w:t>22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日北京时间</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0</w:t>
      </w:r>
      <w:r>
        <w:rPr>
          <w:rFonts w:hint="eastAsia" w:ascii="方正仿宋_GBK" w:hAnsi="宋体" w:eastAsia="方正仿宋_GBK" w:cs="Times New Roman"/>
          <w:color w:val="auto"/>
          <w:sz w:val="24"/>
          <w:szCs w:val="24"/>
        </w:rPr>
        <w:t>0</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日北京时间</w:t>
      </w:r>
      <w:bookmarkEnd w:id="20"/>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11</w:t>
      </w:r>
      <w:bookmarkStart w:id="179" w:name="_GoBack"/>
      <w:bookmarkEnd w:id="179"/>
      <w:r>
        <w:rPr>
          <w:rFonts w:hint="eastAsia" w:ascii="方正仿宋_GBK" w:hAnsi="宋体" w:eastAsia="方正仿宋_GBK" w:cs="Times New Roman"/>
          <w:color w:val="auto"/>
          <w:sz w:val="24"/>
          <w:szCs w:val="24"/>
        </w:rPr>
        <w:t>日北京时间</w:t>
      </w:r>
      <w:bookmarkEnd w:id="21"/>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w:t>
      </w:r>
    </w:p>
    <w:p>
      <w:pPr>
        <w:pStyle w:val="3"/>
        <w:bidi w:val="0"/>
        <w:rPr>
          <w:rFonts w:hint="eastAsia" w:ascii="微软雅黑" w:hAnsi="微软雅黑" w:eastAsia="微软雅黑" w:cs="微软雅黑"/>
          <w:color w:val="auto"/>
          <w:sz w:val="24"/>
          <w:szCs w:val="24"/>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54718176"/>
      <w:bookmarkStart w:id="24" w:name="_Toc54171062"/>
      <w:bookmarkStart w:id="25" w:name="_Toc373860294"/>
    </w:p>
    <w:bookmarkEnd w:id="23"/>
    <w:bookmarkEnd w:id="24"/>
    <w:bookmarkEnd w:id="25"/>
    <w:p>
      <w:pPr>
        <w:pStyle w:val="3"/>
        <w:bidi w:val="0"/>
        <w:rPr>
          <w:rFonts w:hint="eastAsia" w:ascii="微软雅黑" w:hAnsi="微软雅黑" w:eastAsia="微软雅黑" w:cs="微软雅黑"/>
          <w:color w:val="auto"/>
          <w:sz w:val="24"/>
          <w:szCs w:val="24"/>
        </w:rPr>
      </w:pPr>
      <w:bookmarkStart w:id="26" w:name="_Toc2806"/>
      <w:bookmarkStart w:id="27" w:name="_Toc1625"/>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未线上报名的，其响应文件恕不接收，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96605950"/>
      <w:bookmarkStart w:id="29" w:name="_Toc2183"/>
      <w:r>
        <w:rPr>
          <w:rFonts w:hint="eastAsia" w:ascii="微软雅黑" w:hAnsi="微软雅黑" w:eastAsia="微软雅黑" w:cs="微软雅黑"/>
          <w:color w:val="auto"/>
          <w:sz w:val="24"/>
          <w:szCs w:val="24"/>
        </w:rPr>
        <w:t>七、防疫要求</w:t>
      </w:r>
      <w:bookmarkEnd w:id="28"/>
      <w:bookmarkEnd w:id="29"/>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关于加强交易现场疫情防控工作的通知</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按照永川区政府关于当前疫情防控相关工作要求，重庆医科大学附属永川医院将加强现场疫情防控管理，现通知如下：</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（二）所有来自或途径中（高）风险区所在城市的来永返永人员，需持48小时内核酸检测阴性证明。若无法提供的，将不能进入医院，产生的一切后果自负。</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（三）请各进入医院人员和单位务必提前详细了解我区疫情防控具体要求，若不符合防控要求，将不能入场参与交易活动，请自行评估后果，合理安排人员参与相关活动。</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（四）由于区域疫情防控政策动态调整，请及时关注最新政策发布情况。如不清楚防控要求，请于采购前致电重庆医科大学附属永川医院采购办询问，咨询电话：85385105</w:t>
      </w:r>
      <w:bookmarkStart w:id="30" w:name="_Toc31390"/>
    </w:p>
    <w:p>
      <w:pPr>
        <w:pStyle w:val="3"/>
        <w:spacing w:line="240" w:lineRule="auto"/>
        <w:rPr>
          <w:rFonts w:hint="eastAsia" w:ascii="微软雅黑" w:hAnsi="微软雅黑" w:eastAsia="微软雅黑" w:cs="微软雅黑"/>
          <w:color w:val="auto"/>
          <w:sz w:val="24"/>
          <w:szCs w:val="24"/>
        </w:rPr>
      </w:pPr>
      <w:bookmarkStart w:id="31" w:name="_Toc9130"/>
      <w:r>
        <w:rPr>
          <w:rFonts w:hint="eastAsia" w:ascii="微软雅黑" w:hAnsi="微软雅黑" w:eastAsia="微软雅黑" w:cs="微软雅黑"/>
          <w:color w:val="auto"/>
          <w:sz w:val="24"/>
          <w:szCs w:val="24"/>
        </w:rPr>
        <w:t>八、联系方式</w:t>
      </w:r>
      <w:bookmarkEnd w:id="30"/>
      <w:bookmarkEnd w:id="31"/>
    </w:p>
    <w:bookmarkEnd w:id="18"/>
    <w:bookmarkEnd w:id="19"/>
    <w:p>
      <w:pPr>
        <w:ind w:firstLine="480" w:firstLineChars="200"/>
        <w:jc w:val="left"/>
        <w:rPr>
          <w:rFonts w:ascii="方正仿宋_GBK" w:hAnsi="宋体" w:eastAsia="方正仿宋_GBK" w:cs="Times New Roman"/>
          <w:color w:val="auto"/>
          <w:sz w:val="24"/>
          <w:szCs w:val="24"/>
        </w:rPr>
      </w:pPr>
      <w:bookmarkStart w:id="32"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2"/>
    <w:p>
      <w:pPr>
        <w:pStyle w:val="2"/>
        <w:jc w:val="center"/>
        <w:rPr>
          <w:rFonts w:hint="eastAsia"/>
          <w:b/>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2"/>
        <w:bidi w:val="0"/>
        <w:jc w:val="center"/>
        <w:rPr>
          <w:rFonts w:hint="eastAsia"/>
          <w:b/>
          <w:color w:val="auto"/>
        </w:rPr>
      </w:pPr>
      <w:bookmarkStart w:id="33" w:name="_Toc22321"/>
      <w:r>
        <w:rPr>
          <w:rFonts w:hint="eastAsia" w:ascii="微软雅黑" w:hAnsi="微软雅黑" w:eastAsia="微软雅黑" w:cs="微软雅黑"/>
          <w:b/>
          <w:bCs/>
          <w:color w:val="auto"/>
          <w:sz w:val="36"/>
          <w:szCs w:val="36"/>
        </w:rPr>
        <w:t>第二篇 供应商须知</w:t>
      </w:r>
      <w:bookmarkEnd w:id="33"/>
    </w:p>
    <w:p>
      <w:pPr>
        <w:pStyle w:val="3"/>
        <w:bidi w:val="0"/>
        <w:rPr>
          <w:rFonts w:hint="eastAsia" w:ascii="微软雅黑" w:hAnsi="微软雅黑" w:eastAsia="微软雅黑" w:cs="微软雅黑"/>
          <w:color w:val="auto"/>
          <w:sz w:val="24"/>
          <w:szCs w:val="24"/>
        </w:rPr>
      </w:pPr>
      <w:bookmarkStart w:id="34" w:name="_Toc11386"/>
      <w:r>
        <w:rPr>
          <w:rFonts w:hint="eastAsia" w:ascii="微软雅黑" w:hAnsi="微软雅黑" w:eastAsia="微软雅黑" w:cs="微软雅黑"/>
          <w:color w:val="auto"/>
          <w:sz w:val="24"/>
          <w:szCs w:val="24"/>
        </w:rPr>
        <w:t>一、比选费用</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5" w:name="_Toc8430"/>
      <w:r>
        <w:rPr>
          <w:rFonts w:hint="eastAsia" w:ascii="微软雅黑" w:hAnsi="微软雅黑" w:eastAsia="微软雅黑" w:cs="微软雅黑"/>
          <w:color w:val="auto"/>
          <w:sz w:val="24"/>
          <w:szCs w:val="24"/>
        </w:rPr>
        <w:t>二、比选文件</w:t>
      </w:r>
      <w:bookmarkEnd w:id="35"/>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6" w:name="_Toc23254"/>
      <w:r>
        <w:rPr>
          <w:rFonts w:hint="eastAsia" w:ascii="微软雅黑" w:hAnsi="微软雅黑" w:eastAsia="微软雅黑" w:cs="微软雅黑"/>
          <w:color w:val="auto"/>
          <w:sz w:val="24"/>
          <w:szCs w:val="24"/>
        </w:rPr>
        <w:t>三、比选要求</w:t>
      </w:r>
      <w:bookmarkEnd w:id="36"/>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响应单位按照报价表进行报价，详见附件。各项报价均应包含人工费、材料费、保险费、税费等各项费用。</w:t>
      </w:r>
      <w:r>
        <w:rPr>
          <w:rFonts w:hint="eastAsia" w:ascii="方正仿宋_GBK" w:hAnsi="宋体" w:eastAsia="方正仿宋_GBK" w:cs="Times New Roman"/>
          <w:color w:val="auto"/>
          <w:sz w:val="24"/>
          <w:szCs w:val="24"/>
        </w:rPr>
        <w:t>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（三）修正错误</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w:t>
      </w:r>
      <w:r>
        <w:rPr>
          <w:rFonts w:hint="eastAsia" w:ascii="仿宋" w:hAnsi="仿宋" w:eastAsia="仿宋" w:cs="仿宋"/>
          <w:color w:val="auto"/>
          <w:sz w:val="24"/>
          <w:szCs w:val="24"/>
        </w:rPr>
        <w:t xml:space="preserve"> </w:t>
      </w:r>
      <w:r>
        <w:rPr>
          <w:rFonts w:hint="eastAsia" w:ascii="方正仿宋_GBK" w:hAnsi="宋体" w:eastAsia="方正仿宋_GBK" w:cs="Times New Roman"/>
          <w:color w:val="auto"/>
          <w:sz w:val="24"/>
          <w:szCs w:val="24"/>
        </w:rPr>
        <w:t>邮寄</w:t>
      </w:r>
      <w:r>
        <w:rPr>
          <w:rFonts w:hint="eastAsia" w:ascii="仿宋" w:hAnsi="仿宋" w:eastAsia="仿宋" w:cs="仿宋"/>
          <w:color w:val="auto"/>
          <w:sz w:val="24"/>
          <w:szCs w:val="24"/>
        </w:rPr>
        <w:t>、</w:t>
      </w:r>
      <w:r>
        <w:rPr>
          <w:rFonts w:hint="eastAsia" w:ascii="方正仿宋_GBK" w:hAnsi="宋体" w:eastAsia="方正仿宋_GBK" w:cs="Times New Roman"/>
          <w:color w:val="auto"/>
          <w:sz w:val="24"/>
          <w:szCs w:val="24"/>
        </w:rPr>
        <w:t>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7" w:name="OLE_LINK3"/>
      <w:bookmarkStart w:id="38" w:name="OLE_LINK8"/>
      <w:bookmarkStart w:id="39" w:name="OLE_LINK9"/>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1.不符合规定的基本资格条件或特定资格条件；</w:t>
      </w:r>
    </w:p>
    <w:p>
      <w:pPr>
        <w:snapToGrid w:val="0"/>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2.法定代表人或其授权代表未参加比选；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3.响应文件不按规定签字、盖章；</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4、供应商的报价超过采购</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总价限价或单价限价；</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5、供应商的最后报价超过采购预算；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9、同一合同项下的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，制造商参与比选的，再委托代理商参与比选的；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10、供应商以联合体形式参与比选的；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37"/>
    <w:bookmarkEnd w:id="38"/>
    <w:bookmarkEnd w:id="39"/>
    <w:p>
      <w:pPr>
        <w:pStyle w:val="3"/>
        <w:spacing w:line="240" w:lineRule="auto"/>
        <w:rPr>
          <w:rFonts w:hint="eastAsia" w:ascii="微软雅黑" w:hAnsi="微软雅黑" w:eastAsia="微软雅黑" w:cs="微软雅黑"/>
          <w:color w:val="auto"/>
          <w:sz w:val="24"/>
          <w:szCs w:val="24"/>
        </w:rPr>
      </w:pPr>
      <w:bookmarkStart w:id="40" w:name="_Toc19143"/>
      <w:bookmarkStart w:id="41" w:name="_Toc102227319"/>
      <w:bookmarkStart w:id="42" w:name="_Toc342913393"/>
      <w:bookmarkStart w:id="43" w:name="_Toc179714298"/>
      <w:bookmarkStart w:id="44" w:name="_Toc403569780"/>
      <w:bookmarkStart w:id="45" w:name="_Toc18122"/>
      <w:r>
        <w:rPr>
          <w:rFonts w:hint="eastAsia" w:ascii="微软雅黑" w:hAnsi="微软雅黑" w:eastAsia="微软雅黑" w:cs="微软雅黑"/>
          <w:color w:val="auto"/>
          <w:sz w:val="24"/>
          <w:szCs w:val="24"/>
        </w:rPr>
        <w:t>四、比选程序</w:t>
      </w:r>
      <w:bookmarkEnd w:id="40"/>
      <w:bookmarkEnd w:id="41"/>
      <w:bookmarkEnd w:id="42"/>
      <w:bookmarkEnd w:id="43"/>
      <w:bookmarkEnd w:id="44"/>
      <w:bookmarkEnd w:id="45"/>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6" w:name="_Toc14247"/>
      <w:bookmarkStart w:id="47" w:name="_Toc403569781"/>
      <w:bookmarkStart w:id="48" w:name="_Toc28776"/>
      <w:bookmarkStart w:id="49" w:name="_Toc102227320"/>
      <w:bookmarkStart w:id="50" w:name="_Toc342913394"/>
      <w:r>
        <w:rPr>
          <w:rFonts w:hint="eastAsia" w:ascii="微软雅黑" w:hAnsi="微软雅黑" w:eastAsia="微软雅黑" w:cs="微软雅黑"/>
          <w:color w:val="auto"/>
          <w:sz w:val="24"/>
          <w:szCs w:val="24"/>
        </w:rPr>
        <w:t>五、评审依据</w:t>
      </w:r>
      <w:bookmarkEnd w:id="46"/>
      <w:bookmarkEnd w:id="47"/>
      <w:bookmarkEnd w:id="48"/>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51" w:name="_Toc403569782"/>
      <w:bookmarkStart w:id="52" w:name="_Toc29340"/>
      <w:bookmarkStart w:id="53" w:name="_Toc14816"/>
      <w:r>
        <w:rPr>
          <w:rFonts w:hint="eastAsia" w:ascii="微软雅黑" w:hAnsi="微软雅黑" w:eastAsia="微软雅黑" w:cs="微软雅黑"/>
          <w:color w:val="auto"/>
          <w:sz w:val="24"/>
          <w:szCs w:val="24"/>
        </w:rPr>
        <w:t>六、成交</w:t>
      </w:r>
      <w:bookmarkEnd w:id="49"/>
      <w:r>
        <w:rPr>
          <w:rFonts w:hint="eastAsia" w:ascii="微软雅黑" w:hAnsi="微软雅黑" w:eastAsia="微软雅黑" w:cs="微软雅黑"/>
          <w:color w:val="auto"/>
          <w:sz w:val="24"/>
          <w:szCs w:val="24"/>
        </w:rPr>
        <w:t>原则</w:t>
      </w:r>
      <w:bookmarkEnd w:id="50"/>
      <w:bookmarkEnd w:id="51"/>
      <w:bookmarkEnd w:id="52"/>
      <w:bookmarkEnd w:id="53"/>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在采购过程中符合竞争要求的供应商或者报价未超过采购预算的供应商不足3家的，</w:t>
      </w:r>
      <w:r>
        <w:rPr>
          <w:rFonts w:hint="eastAsia" w:ascii="方正仿宋_GBK" w:hAnsi="宋体" w:eastAsia="方正仿宋_GBK"/>
          <w:color w:val="auto"/>
          <w:sz w:val="24"/>
          <w:szCs w:val="24"/>
        </w:rPr>
        <w:t>但《医院采购管理办法（试行）》第二十三条第一款（五）规定的情形除外。</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54" w:name="_Toc342913395"/>
      <w:bookmarkStart w:id="55" w:name="_Toc403569783"/>
      <w:bookmarkStart w:id="56" w:name="_Toc3212"/>
      <w:bookmarkStart w:id="57" w:name="_Toc7135"/>
      <w:bookmarkStart w:id="58" w:name="_Toc102227321"/>
      <w:r>
        <w:rPr>
          <w:rFonts w:hint="eastAsia" w:ascii="微软雅黑" w:hAnsi="微软雅黑" w:eastAsia="微软雅黑" w:cs="微软雅黑"/>
          <w:color w:val="auto"/>
          <w:sz w:val="24"/>
          <w:szCs w:val="24"/>
        </w:rPr>
        <w:t>七、成交通知</w:t>
      </w:r>
      <w:bookmarkEnd w:id="54"/>
      <w:bookmarkEnd w:id="55"/>
      <w:bookmarkEnd w:id="56"/>
      <w:bookmarkEnd w:id="57"/>
      <w:bookmarkEnd w:id="58"/>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9" w:name="_Toc12880"/>
      <w:bookmarkStart w:id="60" w:name="_Toc403569784"/>
      <w:bookmarkStart w:id="61" w:name="_Toc17413"/>
      <w:r>
        <w:rPr>
          <w:rFonts w:hint="eastAsia" w:ascii="微软雅黑" w:hAnsi="微软雅黑" w:eastAsia="微软雅黑" w:cs="微软雅黑"/>
          <w:color w:val="auto"/>
          <w:sz w:val="24"/>
          <w:szCs w:val="24"/>
        </w:rPr>
        <w:t>八、关于质疑和投诉</w:t>
      </w:r>
      <w:bookmarkEnd w:id="59"/>
      <w:bookmarkEnd w:id="60"/>
      <w:bookmarkEnd w:id="61"/>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2" w:name="_Toc102227322"/>
      <w:bookmarkStart w:id="63" w:name="_Toc403569785"/>
      <w:bookmarkStart w:id="64" w:name="_Toc342913396"/>
      <w:bookmarkStart w:id="65" w:name="_Toc6381"/>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6" w:name="_Toc5728"/>
      <w:r>
        <w:rPr>
          <w:rFonts w:hint="eastAsia" w:ascii="微软雅黑" w:hAnsi="微软雅黑" w:eastAsia="微软雅黑" w:cs="微软雅黑"/>
          <w:color w:val="auto"/>
          <w:sz w:val="24"/>
          <w:szCs w:val="24"/>
        </w:rPr>
        <w:t>九、签订</w:t>
      </w:r>
      <w:bookmarkEnd w:id="62"/>
      <w:r>
        <w:rPr>
          <w:rFonts w:hint="eastAsia" w:ascii="微软雅黑" w:hAnsi="微软雅黑" w:eastAsia="微软雅黑" w:cs="微软雅黑"/>
          <w:color w:val="auto"/>
          <w:sz w:val="24"/>
          <w:szCs w:val="24"/>
        </w:rPr>
        <w:t>合同</w:t>
      </w:r>
      <w:bookmarkEnd w:id="63"/>
      <w:bookmarkEnd w:id="64"/>
      <w:bookmarkEnd w:id="65"/>
      <w:bookmarkEnd w:id="6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pStyle w:val="3"/>
        <w:spacing w:line="240" w:lineRule="auto"/>
        <w:rPr>
          <w:rFonts w:hint="eastAsia" w:ascii="微软雅黑" w:hAnsi="微软雅黑" w:eastAsia="微软雅黑" w:cs="微软雅黑"/>
          <w:color w:val="auto"/>
          <w:sz w:val="24"/>
          <w:szCs w:val="24"/>
        </w:rPr>
      </w:pPr>
      <w:bookmarkStart w:id="67" w:name="_Toc29479"/>
      <w:bookmarkStart w:id="68" w:name="_Toc7675"/>
      <w:bookmarkStart w:id="69" w:name="_Toc15659"/>
      <w:r>
        <w:rPr>
          <w:rFonts w:hint="eastAsia" w:ascii="微软雅黑" w:hAnsi="微软雅黑" w:eastAsia="微软雅黑" w:cs="微软雅黑"/>
          <w:color w:val="auto"/>
          <w:sz w:val="24"/>
          <w:szCs w:val="24"/>
        </w:rPr>
        <w:t>十、其他</w:t>
      </w:r>
      <w:bookmarkEnd w:id="67"/>
      <w:bookmarkEnd w:id="68"/>
      <w:bookmarkEnd w:id="6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pacing w:line="390" w:lineRule="exact"/>
        <w:rPr>
          <w:rFonts w:ascii="方正仿宋_GBK" w:hAnsi="宋体" w:eastAsia="方正仿宋_GBK" w:cs="Times New Roman"/>
          <w:b/>
          <w:color w:val="auto"/>
          <w:sz w:val="24"/>
          <w:szCs w:val="24"/>
        </w:rPr>
      </w:pPr>
    </w:p>
    <w:p>
      <w:pPr>
        <w:spacing w:line="390" w:lineRule="exact"/>
        <w:rPr>
          <w:rFonts w:ascii="方正仿宋_GBK" w:hAnsi="宋体" w:eastAsia="方正仿宋_GBK" w:cs="Times New Roman"/>
          <w:b/>
          <w:color w:val="auto"/>
          <w:sz w:val="24"/>
          <w:szCs w:val="24"/>
        </w:rPr>
      </w:pPr>
    </w:p>
    <w:p>
      <w:pPr>
        <w:pStyle w:val="2"/>
        <w:jc w:val="center"/>
        <w:rPr>
          <w:b/>
          <w:color w:val="auto"/>
          <w:sz w:val="44"/>
          <w:szCs w:val="44"/>
        </w:rPr>
      </w:pPr>
      <w:bookmarkStart w:id="70" w:name="_Toc485108784"/>
      <w:bookmarkStart w:id="71" w:name="_Toc11770"/>
      <w:r>
        <w:rPr>
          <w:rFonts w:hint="eastAsia" w:ascii="微软雅黑" w:hAnsi="微软雅黑" w:eastAsia="微软雅黑" w:cs="微软雅黑"/>
          <w:b/>
          <w:color w:val="auto"/>
          <w:sz w:val="36"/>
          <w:szCs w:val="36"/>
        </w:rPr>
        <w:t>第三篇  项目服务需求</w:t>
      </w:r>
      <w:bookmarkEnd w:id="70"/>
      <w:bookmarkEnd w:id="71"/>
    </w:p>
    <w:p>
      <w:pPr>
        <w:rPr>
          <w:rFonts w:ascii="Times New Roman" w:hAnsi="Times New Roman" w:eastAsia="宋体" w:cs="Times New Roman"/>
          <w:color w:val="auto"/>
          <w:sz w:val="28"/>
          <w:szCs w:val="20"/>
        </w:rPr>
      </w:pPr>
    </w:p>
    <w:p>
      <w:pPr>
        <w:pStyle w:val="3"/>
        <w:spacing w:line="240" w:lineRule="auto"/>
        <w:rPr>
          <w:rFonts w:hint="eastAsia" w:ascii="微软雅黑" w:hAnsi="微软雅黑" w:eastAsia="微软雅黑" w:cs="微软雅黑"/>
          <w:color w:val="auto"/>
          <w:sz w:val="24"/>
          <w:szCs w:val="24"/>
        </w:rPr>
      </w:pPr>
      <w:bookmarkStart w:id="72" w:name="_Toc485108785"/>
      <w:bookmarkStart w:id="73" w:name="_Toc766"/>
      <w:bookmarkStart w:id="74" w:name="_Toc12789058"/>
      <w:r>
        <w:rPr>
          <w:rFonts w:hint="eastAsia" w:ascii="微软雅黑" w:hAnsi="微软雅黑" w:eastAsia="微软雅黑" w:cs="微软雅黑"/>
          <w:color w:val="auto"/>
          <w:sz w:val="24"/>
          <w:szCs w:val="24"/>
        </w:rPr>
        <w:t>一、</w:t>
      </w:r>
      <w:bookmarkEnd w:id="72"/>
      <w:r>
        <w:rPr>
          <w:rFonts w:hint="eastAsia" w:ascii="微软雅黑" w:hAnsi="微软雅黑" w:eastAsia="微软雅黑" w:cs="微软雅黑"/>
          <w:color w:val="auto"/>
          <w:sz w:val="24"/>
          <w:szCs w:val="24"/>
        </w:rPr>
        <w:t>项目一览表</w:t>
      </w:r>
      <w:bookmarkEnd w:id="73"/>
    </w:p>
    <w:tbl>
      <w:tblPr>
        <w:tblStyle w:val="58"/>
        <w:tblW w:w="8305" w:type="dxa"/>
        <w:tblInd w:w="534" w:type="dxa"/>
        <w:tblLayout w:type="fixed"/>
        <w:tblCellMar>
          <w:top w:w="0" w:type="dxa"/>
          <w:left w:w="108" w:type="dxa"/>
          <w:bottom w:w="0" w:type="dxa"/>
          <w:right w:w="108" w:type="dxa"/>
        </w:tblCellMar>
      </w:tblPr>
      <w:tblGrid>
        <w:gridCol w:w="3265"/>
        <w:gridCol w:w="3360"/>
        <w:gridCol w:w="1680"/>
      </w:tblGrid>
      <w:tr>
        <w:tblPrEx>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项目名称</w:t>
            </w:r>
          </w:p>
        </w:tc>
        <w:tc>
          <w:tcPr>
            <w:tcW w:w="336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r>
              <w:rPr>
                <w:rFonts w:hint="eastAsia" w:ascii="方正仿宋_GBK" w:hAnsi="仿宋" w:eastAsia="方正仿宋_GBK" w:cs="仿宋"/>
                <w:color w:val="auto"/>
                <w:sz w:val="24"/>
                <w:szCs w:val="24"/>
                <w:lang w:val="en-US" w:eastAsia="zh-CN"/>
              </w:rPr>
              <w:t>维修项目</w:t>
            </w:r>
          </w:p>
        </w:tc>
        <w:tc>
          <w:tcPr>
            <w:tcW w:w="168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备注</w:t>
            </w:r>
          </w:p>
        </w:tc>
      </w:tr>
      <w:tr>
        <w:tblPrEx>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r>
              <w:rPr>
                <w:rFonts w:hint="eastAsia" w:ascii="方正仿宋_GBK" w:hAnsi="宋体" w:eastAsia="方正仿宋_GBK"/>
                <w:color w:val="auto"/>
                <w:szCs w:val="21"/>
                <w:lang w:val="en-US" w:eastAsia="zh-CN"/>
              </w:rPr>
              <w:t>电视机维修服务</w:t>
            </w:r>
          </w:p>
        </w:tc>
        <w:tc>
          <w:tcPr>
            <w:tcW w:w="336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eastAsia" w:ascii="方正仿宋_GBK" w:hAnsi="宋体" w:eastAsia="方正仿宋_GBK"/>
                <w:color w:val="auto"/>
                <w:szCs w:val="21"/>
                <w:lang w:val="en-US" w:eastAsia="zh-CN"/>
              </w:rPr>
            </w:pPr>
            <w:r>
              <w:rPr>
                <w:rFonts w:hint="eastAsia" w:ascii="方正仿宋_GBK" w:hAnsi="宋体" w:eastAsia="方正仿宋_GBK"/>
                <w:color w:val="auto"/>
                <w:szCs w:val="21"/>
                <w:lang w:val="en-US" w:eastAsia="zh-CN"/>
              </w:rPr>
              <w:t>见附件</w:t>
            </w:r>
          </w:p>
        </w:tc>
        <w:tc>
          <w:tcPr>
            <w:tcW w:w="168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p>
        </w:tc>
      </w:tr>
    </w:tbl>
    <w:p>
      <w:pPr>
        <w:pStyle w:val="3"/>
        <w:spacing w:line="240" w:lineRule="auto"/>
        <w:rPr>
          <w:rFonts w:hint="eastAsia" w:ascii="微软雅黑" w:hAnsi="微软雅黑" w:eastAsia="微软雅黑" w:cs="微软雅黑"/>
          <w:color w:val="auto"/>
          <w:sz w:val="24"/>
          <w:szCs w:val="24"/>
        </w:rPr>
      </w:pPr>
      <w:bookmarkStart w:id="75" w:name="_Toc18590"/>
      <w:bookmarkStart w:id="76" w:name="_Toc485108786"/>
      <w:r>
        <w:rPr>
          <w:rFonts w:hint="eastAsia" w:ascii="微软雅黑" w:hAnsi="微软雅黑" w:eastAsia="微软雅黑" w:cs="微软雅黑"/>
          <w:color w:val="auto"/>
          <w:sz w:val="24"/>
          <w:szCs w:val="24"/>
        </w:rPr>
        <w:t>二、服务要求</w:t>
      </w:r>
      <w:bookmarkEnd w:id="75"/>
      <w:bookmarkEnd w:id="76"/>
    </w:p>
    <w:p>
      <w:pPr>
        <w:pStyle w:val="30"/>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1、服务方在接到采购方维修通知后，应在1小时内安排专业维修人员上门服务，能在短时间完成故障设备的检修，并确保设备的维修质量。如属厂家质保期内产品，应立即告知采购方联系厂家免费维修。</w:t>
      </w:r>
    </w:p>
    <w:p>
      <w:pPr>
        <w:pStyle w:val="30"/>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2、服务方须指派具备资质的专业人员开展相关工作，各项工作须严格按照相关操作规程开展，做好各项维修记录。</w:t>
      </w:r>
    </w:p>
    <w:p>
      <w:pPr>
        <w:pStyle w:val="30"/>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3、在维修过程中，维修人员应采取有效的安全措施，保证施工人员和其他人员的人身安全，并承担因安全事故导致的一切经济和法律责任。如有损坏财产须照价赔偿。</w:t>
      </w: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keepNext/>
        <w:keepLines/>
        <w:spacing w:line="400" w:lineRule="exact"/>
        <w:outlineLvl w:val="2"/>
        <w:rPr>
          <w:rFonts w:hint="eastAsia" w:ascii="方正仿宋_GBK" w:hAnsi="宋体" w:eastAsia="方正仿宋_GBK" w:cs="Times New Roman"/>
          <w:color w:val="auto"/>
          <w:sz w:val="24"/>
          <w:szCs w:val="24"/>
        </w:rPr>
      </w:pPr>
    </w:p>
    <w:p>
      <w:pPr>
        <w:pStyle w:val="2"/>
        <w:jc w:val="center"/>
        <w:rPr>
          <w:b/>
          <w:color w:val="auto"/>
          <w:sz w:val="44"/>
          <w:szCs w:val="44"/>
        </w:rPr>
      </w:pPr>
      <w:bookmarkStart w:id="77" w:name="_Toc28327"/>
      <w:bookmarkStart w:id="78" w:name="_Toc485108787"/>
      <w:r>
        <w:rPr>
          <w:rFonts w:hint="eastAsia" w:ascii="微软雅黑" w:hAnsi="微软雅黑" w:eastAsia="微软雅黑" w:cs="微软雅黑"/>
          <w:b/>
          <w:color w:val="auto"/>
          <w:sz w:val="36"/>
          <w:szCs w:val="36"/>
        </w:rPr>
        <w:t>第四篇  项目商务需求</w:t>
      </w:r>
      <w:bookmarkEnd w:id="74"/>
      <w:bookmarkEnd w:id="77"/>
      <w:bookmarkEnd w:id="78"/>
      <w:bookmarkStart w:id="79" w:name="_Toc12789059"/>
      <w:bookmarkStart w:id="80" w:name="_Toc11641055"/>
    </w:p>
    <w:p>
      <w:pPr>
        <w:pStyle w:val="3"/>
        <w:spacing w:line="240" w:lineRule="auto"/>
        <w:rPr>
          <w:rFonts w:hint="eastAsia" w:ascii="微软雅黑" w:hAnsi="微软雅黑" w:eastAsia="微软雅黑" w:cs="微软雅黑"/>
          <w:color w:val="auto"/>
          <w:sz w:val="24"/>
          <w:szCs w:val="24"/>
        </w:rPr>
      </w:pPr>
      <w:bookmarkStart w:id="81" w:name="_Toc485108788"/>
      <w:bookmarkStart w:id="82" w:name="_Toc2302"/>
      <w:bookmarkStart w:id="83" w:name="_Toc344475121"/>
      <w:r>
        <w:rPr>
          <w:rFonts w:hint="eastAsia" w:ascii="微软雅黑" w:hAnsi="微软雅黑" w:eastAsia="微软雅黑" w:cs="微软雅黑"/>
          <w:color w:val="auto"/>
          <w:sz w:val="24"/>
          <w:szCs w:val="24"/>
        </w:rPr>
        <w:t>一、服务</w:t>
      </w:r>
      <w:r>
        <w:rPr>
          <w:rFonts w:hint="eastAsia" w:ascii="微软雅黑" w:hAnsi="微软雅黑" w:eastAsia="微软雅黑" w:cs="微软雅黑"/>
          <w:color w:val="auto"/>
          <w:sz w:val="24"/>
          <w:szCs w:val="24"/>
          <w:lang w:val="en-US" w:eastAsia="zh-CN"/>
        </w:rPr>
        <w:t>周期</w:t>
      </w:r>
      <w:r>
        <w:rPr>
          <w:rFonts w:hint="eastAsia" w:ascii="微软雅黑" w:hAnsi="微软雅黑" w:eastAsia="微软雅黑" w:cs="微软雅黑"/>
          <w:color w:val="auto"/>
          <w:sz w:val="24"/>
          <w:szCs w:val="24"/>
        </w:rPr>
        <w:t>、地点及验收方式</w:t>
      </w:r>
      <w:bookmarkEnd w:id="81"/>
      <w:bookmarkEnd w:id="82"/>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仿宋" w:hAnsi="仿宋" w:eastAsia="仿宋" w:cs="仿宋"/>
          <w:color w:val="auto"/>
          <w:sz w:val="24"/>
          <w:szCs w:val="24"/>
        </w:rPr>
      </w:pPr>
      <w:r>
        <w:rPr>
          <w:rFonts w:hint="eastAsia" w:ascii="方正仿宋_GBK" w:hAnsi="宋体" w:eastAsia="方正仿宋_GBK" w:cs="Times New Roman"/>
          <w:color w:val="auto"/>
          <w:sz w:val="24"/>
          <w:szCs w:val="24"/>
        </w:rPr>
        <w:t>（一）服务时间：</w:t>
      </w:r>
      <w:r>
        <w:rPr>
          <w:rFonts w:hint="eastAsia" w:ascii="方正仿宋_GBK" w:hAnsi="宋体" w:eastAsia="方正仿宋_GBK" w:cs="Times New Roman"/>
          <w:color w:val="auto"/>
          <w:sz w:val="24"/>
          <w:szCs w:val="24"/>
          <w:u w:val="single"/>
          <w:lang w:val="en-US" w:eastAsia="zh-CN"/>
        </w:rPr>
        <w:t>合同期限三年</w:t>
      </w:r>
      <w:r>
        <w:rPr>
          <w:rFonts w:hint="eastAsia" w:ascii="方正仿宋_GBK" w:hAnsi="宋体" w:eastAsia="方正仿宋_GBK" w:cs="Times New Roman"/>
          <w:color w:val="auto"/>
          <w:sz w:val="24"/>
          <w:szCs w:val="24"/>
          <w:u w:val="single"/>
        </w:rPr>
        <w:t>。</w:t>
      </w:r>
    </w:p>
    <w:p>
      <w:pPr>
        <w:snapToGrid w:val="0"/>
        <w:spacing w:line="40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（二）服务</w:t>
      </w:r>
      <w:r>
        <w:rPr>
          <w:rFonts w:hint="eastAsia" w:ascii="方正仿宋_GBK" w:hAnsi="宋体" w:eastAsia="方正仿宋_GBK" w:cs="Times New Roman"/>
          <w:color w:val="auto"/>
          <w:sz w:val="24"/>
          <w:szCs w:val="24"/>
          <w:lang w:eastAsia="zh-CN"/>
        </w:rPr>
        <w:t xml:space="preserve">地点：重庆医科大学附属永川医院（重庆市永川区萱花路439号） </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（三</w:t>
      </w:r>
      <w:bookmarkEnd w:id="83"/>
      <w:bookmarkStart w:id="84" w:name="_Toc279"/>
      <w:bookmarkStart w:id="85" w:name="_Toc485108789"/>
      <w:bookmarkStart w:id="86" w:name="_Toc485108790"/>
      <w:bookmarkStart w:id="87" w:name="_Toc344475122"/>
      <w:r>
        <w:rPr>
          <w:rFonts w:hint="eastAsia" w:ascii="方正仿宋_GBK" w:hAnsi="宋体" w:eastAsia="方正仿宋_GBK" w:cs="Times New Roman"/>
          <w:color w:val="auto"/>
          <w:sz w:val="24"/>
          <w:szCs w:val="24"/>
          <w:lang w:val="en-US" w:eastAsia="zh-CN"/>
        </w:rPr>
        <w:t>）验收方式：</w:t>
      </w:r>
      <w:r>
        <w:rPr>
          <w:rFonts w:hint="eastAsia" w:ascii="方正仿宋_GBK" w:hAnsi="宋体" w:eastAsia="方正仿宋_GBK" w:cs="Times New Roman"/>
          <w:color w:val="auto"/>
          <w:sz w:val="24"/>
          <w:szCs w:val="24"/>
          <w:lang w:eastAsia="zh-CN"/>
        </w:rPr>
        <w:t>服务方每次服务时详细记录内容，采购方使用科室进行工时和材料确认，</w:t>
      </w:r>
      <w:r>
        <w:rPr>
          <w:rFonts w:hint="eastAsia" w:ascii="方正仿宋_GBK" w:hAnsi="宋体" w:eastAsia="方正仿宋_GBK" w:cs="Times New Roman"/>
          <w:color w:val="auto"/>
          <w:sz w:val="24"/>
          <w:szCs w:val="24"/>
          <w:lang w:val="en-US" w:eastAsia="zh-CN"/>
        </w:rPr>
        <w:t>维修完成后双方人员签字确认。</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二、质量保证及售后服务</w:t>
      </w:r>
      <w:bookmarkEnd w:id="84"/>
      <w:bookmarkEnd w:id="85"/>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（一）质量要求：服务方维修中更换的设备零配件须为正规厂家生产的全新合格产品，产品质量须符合国家相关的产品质量标准，不得弄虚作假、以次充好，严禁使用仿冒及伪劣产品。</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二</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质量保证期：服务方维修中更换的设备零配件</w:t>
      </w:r>
      <w:r>
        <w:rPr>
          <w:rFonts w:hint="eastAsia" w:ascii="方正仿宋_GBK" w:hAnsi="宋体" w:eastAsia="方正仿宋_GBK" w:cs="Times New Roman"/>
          <w:color w:val="auto"/>
          <w:sz w:val="24"/>
          <w:szCs w:val="24"/>
          <w:lang w:val="en-US" w:eastAsia="zh-CN"/>
        </w:rPr>
        <w:t>质保期不得低于行业标准</w:t>
      </w:r>
      <w:r>
        <w:rPr>
          <w:rFonts w:hint="eastAsia" w:ascii="方正仿宋_GBK" w:hAnsi="宋体" w:eastAsia="方正仿宋_GBK" w:cs="Times New Roman"/>
          <w:color w:val="auto"/>
          <w:sz w:val="24"/>
          <w:szCs w:val="24"/>
        </w:rPr>
        <w:t>。</w:t>
      </w:r>
    </w:p>
    <w:p>
      <w:pPr>
        <w:snapToGrid w:val="0"/>
        <w:spacing w:line="40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三</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售后服务：</w:t>
      </w:r>
      <w:r>
        <w:rPr>
          <w:rFonts w:hint="eastAsia" w:ascii="方正仿宋_GBK" w:hAnsi="宋体" w:eastAsia="方正仿宋_GBK" w:cs="Times New Roman"/>
          <w:color w:val="auto"/>
          <w:sz w:val="24"/>
          <w:szCs w:val="24"/>
        </w:rPr>
        <w:t>服务方接到采购方通知后应立即响应，电话咨询不能解决的应在1小时内安排技术人员到达现场处理，直至解除故障，质保期内</w:t>
      </w:r>
      <w:r>
        <w:rPr>
          <w:rFonts w:hint="eastAsia" w:ascii="方正仿宋_GBK" w:hAnsi="宋体" w:eastAsia="方正仿宋_GBK" w:cs="Times New Roman"/>
          <w:color w:val="auto"/>
          <w:sz w:val="24"/>
          <w:szCs w:val="24"/>
          <w:lang w:val="en-US" w:eastAsia="zh-CN"/>
        </w:rPr>
        <w:t>零配件应</w:t>
      </w:r>
      <w:r>
        <w:rPr>
          <w:rFonts w:hint="eastAsia" w:ascii="方正仿宋_GBK" w:hAnsi="宋体" w:eastAsia="方正仿宋_GBK" w:cs="Times New Roman"/>
          <w:color w:val="auto"/>
          <w:sz w:val="24"/>
          <w:szCs w:val="24"/>
        </w:rPr>
        <w:t>免费维修、更换。服务方提供有效的维修联系人和电话，如有变更，应及时通知采购方。</w:t>
      </w:r>
    </w:p>
    <w:p>
      <w:pPr>
        <w:pStyle w:val="3"/>
        <w:spacing w:line="240" w:lineRule="auto"/>
        <w:rPr>
          <w:rFonts w:hint="eastAsia" w:ascii="微软雅黑" w:hAnsi="微软雅黑" w:eastAsia="微软雅黑" w:cs="微软雅黑"/>
          <w:color w:val="auto"/>
          <w:sz w:val="24"/>
          <w:szCs w:val="24"/>
        </w:rPr>
      </w:pPr>
      <w:bookmarkStart w:id="88" w:name="_Toc15905"/>
      <w:r>
        <w:rPr>
          <w:rFonts w:hint="eastAsia" w:ascii="微软雅黑" w:hAnsi="微软雅黑" w:eastAsia="微软雅黑" w:cs="微软雅黑"/>
          <w:color w:val="auto"/>
          <w:sz w:val="24"/>
          <w:szCs w:val="24"/>
        </w:rPr>
        <w:t>三、付款方式</w:t>
      </w:r>
      <w:bookmarkEnd w:id="86"/>
      <w:bookmarkEnd w:id="87"/>
      <w:bookmarkEnd w:id="88"/>
    </w:p>
    <w:p>
      <w:pPr>
        <w:pStyle w:val="30"/>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服务方每次服务时详细记录内容，采购方使用科室进行工时和材料确认，服务方应在每月5日前将上月的维修结算清单、足额合法发票提交采购方（遇到法定节假日时，延长至工作日上班第一天），采购方核对确认后60日内支付费用。</w:t>
      </w:r>
    </w:p>
    <w:p>
      <w:pPr>
        <w:pStyle w:val="3"/>
        <w:spacing w:line="240" w:lineRule="auto"/>
        <w:rPr>
          <w:rFonts w:hint="eastAsia" w:ascii="微软雅黑" w:hAnsi="微软雅黑" w:eastAsia="微软雅黑" w:cs="微软雅黑"/>
          <w:color w:val="auto"/>
          <w:sz w:val="24"/>
          <w:szCs w:val="24"/>
        </w:rPr>
      </w:pPr>
      <w:bookmarkStart w:id="89" w:name="_Toc485108793"/>
      <w:bookmarkStart w:id="90" w:name="_Toc403569795"/>
      <w:bookmarkStart w:id="91" w:name="_Toc7358"/>
      <w:r>
        <w:rPr>
          <w:rFonts w:hint="eastAsia" w:ascii="微软雅黑" w:hAnsi="微软雅黑" w:eastAsia="微软雅黑" w:cs="微软雅黑"/>
          <w:color w:val="auto"/>
          <w:sz w:val="24"/>
          <w:szCs w:val="24"/>
          <w:lang w:val="en-US" w:eastAsia="zh-CN"/>
        </w:rPr>
        <w:t>四</w:t>
      </w:r>
      <w:r>
        <w:rPr>
          <w:rFonts w:hint="eastAsia" w:ascii="微软雅黑" w:hAnsi="微软雅黑" w:eastAsia="微软雅黑" w:cs="微软雅黑"/>
          <w:color w:val="auto"/>
          <w:sz w:val="24"/>
          <w:szCs w:val="24"/>
        </w:rPr>
        <w:t>、其他</w:t>
      </w:r>
      <w:bookmarkEnd w:id="89"/>
      <w:bookmarkEnd w:id="90"/>
      <w:bookmarkEnd w:id="91"/>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snapToGrid w:val="0"/>
        <w:spacing w:line="400" w:lineRule="exact"/>
        <w:ind w:firstLine="540"/>
        <w:rPr>
          <w:rFonts w:ascii="方正仿宋_GBK" w:hAnsi="Times New Roman" w:eastAsia="方正仿宋_GBK" w:cs="Times New Roman"/>
          <w:color w:val="auto"/>
          <w:sz w:val="24"/>
          <w:szCs w:val="24"/>
        </w:rPr>
      </w:pPr>
    </w:p>
    <w:p>
      <w:pPr>
        <w:pStyle w:val="2"/>
        <w:jc w:val="center"/>
        <w:rPr>
          <w:color w:val="auto"/>
          <w:sz w:val="44"/>
          <w:szCs w:val="44"/>
        </w:rPr>
      </w:pPr>
      <w:r>
        <w:rPr>
          <w:rFonts w:eastAsia="黑体"/>
          <w:b/>
          <w:color w:val="auto"/>
        </w:rPr>
        <w:br w:type="page"/>
      </w:r>
      <w:bookmarkEnd w:id="79"/>
      <w:bookmarkEnd w:id="80"/>
      <w:bookmarkStart w:id="92" w:name="_Toc485108794"/>
      <w:bookmarkStart w:id="93" w:name="_Toc403569796"/>
      <w:bookmarkStart w:id="94" w:name="_Toc14840"/>
      <w:bookmarkStart w:id="95" w:name="_Toc148265480"/>
      <w:bookmarkStart w:id="96" w:name="_Toc303945820"/>
      <w:r>
        <w:rPr>
          <w:rFonts w:hint="eastAsia" w:ascii="微软雅黑" w:hAnsi="微软雅黑" w:eastAsia="微软雅黑" w:cs="微软雅黑"/>
          <w:b/>
          <w:color w:val="auto"/>
          <w:sz w:val="36"/>
          <w:szCs w:val="36"/>
        </w:rPr>
        <w:t>第五篇  合同草案条款</w:t>
      </w:r>
      <w:bookmarkEnd w:id="92"/>
      <w:bookmarkEnd w:id="93"/>
      <w:bookmarkEnd w:id="94"/>
    </w:p>
    <w:p>
      <w:pPr>
        <w:pStyle w:val="3"/>
        <w:spacing w:line="240" w:lineRule="auto"/>
        <w:rPr>
          <w:rFonts w:hint="eastAsia" w:ascii="微软雅黑" w:hAnsi="微软雅黑" w:eastAsia="微软雅黑" w:cs="微软雅黑"/>
          <w:color w:val="auto"/>
          <w:sz w:val="24"/>
          <w:szCs w:val="24"/>
        </w:rPr>
      </w:pPr>
      <w:bookmarkStart w:id="97" w:name="_Toc54718202"/>
      <w:bookmarkStart w:id="98" w:name="_Toc30815"/>
      <w:r>
        <w:rPr>
          <w:rFonts w:hint="eastAsia" w:ascii="微软雅黑" w:hAnsi="微软雅黑" w:eastAsia="微软雅黑" w:cs="微软雅黑"/>
          <w:color w:val="auto"/>
          <w:sz w:val="24"/>
          <w:szCs w:val="24"/>
        </w:rPr>
        <w:t>一、定义</w:t>
      </w:r>
      <w:bookmarkEnd w:id="97"/>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988"/>
      <w:r>
        <w:rPr>
          <w:rFonts w:hint="eastAsia" w:ascii="方正仿宋_GBK" w:hAnsi="宋体" w:eastAsia="方正仿宋_GBK" w:cs="Times New Roman"/>
          <w:color w:val="auto"/>
          <w:sz w:val="24"/>
          <w:szCs w:val="24"/>
        </w:rPr>
        <w:t>（一）甲方（需方）即重庆医科大学附属永川医院。</w:t>
      </w:r>
      <w:bookmarkEnd w:id="99"/>
    </w:p>
    <w:p>
      <w:pPr>
        <w:snapToGrid w:val="0"/>
        <w:spacing w:line="400" w:lineRule="exact"/>
        <w:ind w:firstLine="480" w:firstLineChars="200"/>
        <w:jc w:val="left"/>
        <w:rPr>
          <w:rFonts w:ascii="方正仿宋_GBK" w:hAnsi="宋体" w:eastAsia="方正仿宋_GBK" w:cs="Times New Roman"/>
          <w:color w:val="auto"/>
          <w:sz w:val="24"/>
          <w:szCs w:val="24"/>
        </w:rPr>
      </w:pPr>
      <w:bookmarkStart w:id="100"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100"/>
    </w:p>
    <w:p>
      <w:pPr>
        <w:snapToGrid w:val="0"/>
        <w:spacing w:line="400" w:lineRule="exact"/>
        <w:ind w:firstLine="480" w:firstLineChars="200"/>
        <w:jc w:val="left"/>
        <w:rPr>
          <w:rFonts w:ascii="方正仿宋_GBK" w:hAnsi="宋体" w:eastAsia="方正仿宋_GBK" w:cs="Times New Roman"/>
          <w:color w:val="auto"/>
          <w:sz w:val="24"/>
          <w:szCs w:val="24"/>
        </w:rPr>
      </w:pPr>
      <w:bookmarkStart w:id="101"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101"/>
    </w:p>
    <w:p>
      <w:pPr>
        <w:snapToGrid w:val="0"/>
        <w:spacing w:line="400" w:lineRule="exact"/>
        <w:ind w:firstLine="480" w:firstLineChars="200"/>
        <w:jc w:val="left"/>
        <w:rPr>
          <w:rFonts w:ascii="方正仿宋_GBK" w:hAnsi="宋体" w:eastAsia="方正仿宋_GBK" w:cs="Times New Roman"/>
          <w:color w:val="auto"/>
          <w:sz w:val="24"/>
          <w:szCs w:val="24"/>
        </w:rPr>
      </w:pPr>
      <w:bookmarkStart w:id="102"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102"/>
    </w:p>
    <w:p>
      <w:pPr>
        <w:snapToGrid w:val="0"/>
        <w:spacing w:line="400" w:lineRule="exact"/>
        <w:ind w:firstLine="480" w:firstLineChars="200"/>
        <w:jc w:val="left"/>
        <w:rPr>
          <w:rFonts w:ascii="方正仿宋_GBK" w:hAnsi="宋体" w:eastAsia="方正仿宋_GBK" w:cs="Times New Roman"/>
          <w:color w:val="auto"/>
          <w:sz w:val="24"/>
          <w:szCs w:val="24"/>
        </w:rPr>
      </w:pPr>
      <w:bookmarkStart w:id="103"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103"/>
    </w:p>
    <w:p>
      <w:pPr>
        <w:pStyle w:val="3"/>
        <w:spacing w:line="240" w:lineRule="auto"/>
        <w:rPr>
          <w:rFonts w:hint="eastAsia" w:ascii="微软雅黑" w:hAnsi="微软雅黑" w:eastAsia="微软雅黑" w:cs="微软雅黑"/>
          <w:color w:val="auto"/>
          <w:sz w:val="24"/>
          <w:szCs w:val="24"/>
        </w:rPr>
      </w:pPr>
      <w:bookmarkStart w:id="104" w:name="_Toc17879"/>
      <w:bookmarkStart w:id="105"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val="en-US" w:eastAsia="zh-CN"/>
        </w:rPr>
        <w:t>合同</w:t>
      </w:r>
      <w:r>
        <w:rPr>
          <w:rFonts w:hint="eastAsia" w:ascii="微软雅黑" w:hAnsi="微软雅黑" w:eastAsia="微软雅黑" w:cs="微软雅黑"/>
          <w:color w:val="auto"/>
          <w:sz w:val="24"/>
          <w:szCs w:val="24"/>
        </w:rPr>
        <w:t>内容</w:t>
      </w:r>
      <w:bookmarkEnd w:id="104"/>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8967"/>
      <w:r>
        <w:rPr>
          <w:rFonts w:hint="eastAsia" w:ascii="方正仿宋_GBK" w:hAnsi="宋体" w:eastAsia="方正仿宋_GBK" w:cs="Times New Roman"/>
          <w:color w:val="auto"/>
          <w:sz w:val="24"/>
          <w:szCs w:val="24"/>
        </w:rPr>
        <w:t>合同包括以下内容：</w:t>
      </w:r>
      <w:bookmarkEnd w:id="106"/>
      <w:r>
        <w:rPr>
          <w:rFonts w:hint="eastAsia" w:ascii="微软雅黑" w:hAnsi="微软雅黑" w:eastAsia="微软雅黑" w:cs="微软雅黑"/>
          <w:b w:val="0"/>
          <w:color w:val="auto"/>
          <w:kern w:val="2"/>
          <w:sz w:val="24"/>
          <w:szCs w:val="24"/>
          <w:lang w:val="en-US" w:eastAsia="zh-CN" w:bidi="ar-SA"/>
        </w:rPr>
        <w:t>服务内容、服务要求、</w:t>
      </w:r>
      <w:r>
        <w:rPr>
          <w:rFonts w:hint="eastAsia" w:ascii="方正仿宋_GBK" w:hAnsi="宋体" w:eastAsia="方正仿宋_GBK"/>
          <w:color w:val="auto"/>
          <w:sz w:val="24"/>
          <w:szCs w:val="24"/>
          <w:lang w:val="en-US" w:eastAsia="zh-CN"/>
        </w:rPr>
        <w:t>维修项目</w:t>
      </w:r>
      <w:r>
        <w:rPr>
          <w:rFonts w:hint="eastAsia" w:ascii="方正仿宋_GBK" w:hAnsi="宋体" w:eastAsia="方正仿宋_GBK"/>
          <w:color w:val="auto"/>
          <w:sz w:val="24"/>
          <w:szCs w:val="24"/>
        </w:rPr>
        <w:t>、型号规格、</w:t>
      </w:r>
      <w:r>
        <w:rPr>
          <w:rFonts w:hint="eastAsia" w:ascii="方正仿宋_GBK" w:hAnsi="宋体" w:eastAsia="方正仿宋_GBK"/>
          <w:color w:val="auto"/>
          <w:sz w:val="24"/>
          <w:szCs w:val="24"/>
          <w:lang w:val="en-US" w:eastAsia="zh-CN"/>
        </w:rPr>
        <w:t>品牌、价格</w:t>
      </w:r>
      <w:r>
        <w:rPr>
          <w:rFonts w:hint="eastAsia" w:ascii="方正仿宋_GBK" w:hAnsi="宋体" w:eastAsia="方正仿宋_GBK"/>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107" w:name="_Toc8853"/>
      <w:bookmarkStart w:id="108" w:name="_Toc54718204"/>
      <w:r>
        <w:rPr>
          <w:rFonts w:hint="eastAsia" w:ascii="微软雅黑" w:hAnsi="微软雅黑" w:eastAsia="微软雅黑" w:cs="微软雅黑"/>
          <w:color w:val="auto"/>
          <w:sz w:val="24"/>
          <w:szCs w:val="24"/>
        </w:rPr>
        <w:t>三、合同价格</w:t>
      </w:r>
      <w:bookmarkEnd w:id="107"/>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25177"/>
      <w:bookmarkStart w:id="110"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val="en-US" w:eastAsia="zh-CN"/>
        </w:rPr>
        <w:t>维修</w:t>
      </w:r>
      <w:r>
        <w:rPr>
          <w:rFonts w:hint="eastAsia" w:ascii="方正仿宋_GBK" w:hAnsi="宋体" w:eastAsia="方正仿宋_GBK" w:cs="Times New Roman"/>
          <w:color w:val="auto"/>
          <w:sz w:val="24"/>
          <w:szCs w:val="24"/>
          <w:lang w:eastAsia="zh-CN"/>
        </w:rPr>
        <w:t>项目</w:t>
      </w:r>
      <w:r>
        <w:rPr>
          <w:rFonts w:hint="eastAsia" w:ascii="方正仿宋_GBK" w:hAnsi="宋体" w:eastAsia="方正仿宋_GBK" w:cs="Times New Roman"/>
          <w:color w:val="auto"/>
          <w:sz w:val="24"/>
          <w:szCs w:val="24"/>
          <w:lang w:val="en-US" w:eastAsia="zh-CN"/>
        </w:rPr>
        <w:t>单价</w:t>
      </w:r>
      <w:r>
        <w:rPr>
          <w:rFonts w:hint="eastAsia" w:ascii="方正仿宋_GBK" w:hAnsi="宋体" w:eastAsia="方正仿宋_GBK" w:cs="Times New Roman"/>
          <w:color w:val="auto"/>
          <w:sz w:val="24"/>
          <w:szCs w:val="24"/>
        </w:rPr>
        <w:t>。</w:t>
      </w:r>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3890"/>
      <w:r>
        <w:rPr>
          <w:rFonts w:hint="eastAsia" w:ascii="方正仿宋_GBK" w:hAnsi="宋体" w:eastAsia="方正仿宋_GBK" w:cs="Times New Roman"/>
          <w:color w:val="auto"/>
          <w:sz w:val="24"/>
          <w:szCs w:val="24"/>
        </w:rPr>
        <w:t>（二）合同价格包含但不限于货款、安装费、调试费、人工费、税金、管理费等所有费用，所有税费由乙方负担。</w:t>
      </w:r>
      <w:bookmarkEnd w:id="111"/>
    </w:p>
    <w:p>
      <w:pPr>
        <w:pStyle w:val="3"/>
        <w:spacing w:line="240" w:lineRule="auto"/>
        <w:rPr>
          <w:rFonts w:hint="eastAsia" w:ascii="微软雅黑" w:hAnsi="微软雅黑" w:eastAsia="微软雅黑" w:cs="微软雅黑"/>
          <w:color w:val="auto"/>
          <w:sz w:val="24"/>
          <w:szCs w:val="24"/>
        </w:rPr>
      </w:pPr>
      <w:bookmarkStart w:id="112" w:name="_Toc24410"/>
      <w:r>
        <w:rPr>
          <w:rFonts w:hint="eastAsia" w:ascii="微软雅黑" w:hAnsi="微软雅黑" w:eastAsia="微软雅黑" w:cs="微软雅黑"/>
          <w:color w:val="auto"/>
          <w:sz w:val="24"/>
          <w:szCs w:val="24"/>
        </w:rPr>
        <w:t>四、转包或分包</w:t>
      </w:r>
      <w:bookmarkEnd w:id="110"/>
      <w:bookmarkEnd w:id="112"/>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14"/>
    </w:p>
    <w:p>
      <w:pPr>
        <w:snapToGrid w:val="0"/>
        <w:spacing w:line="400" w:lineRule="exact"/>
        <w:ind w:firstLine="480" w:firstLineChars="200"/>
        <w:jc w:val="left"/>
        <w:rPr>
          <w:rFonts w:ascii="方正仿宋_GBK" w:hAnsi="宋体" w:eastAsia="方正仿宋_GBK" w:cs="Times New Roman"/>
          <w:color w:val="auto"/>
          <w:sz w:val="24"/>
          <w:szCs w:val="24"/>
        </w:rPr>
      </w:pPr>
      <w:bookmarkStart w:id="115"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15"/>
    </w:p>
    <w:p>
      <w:pPr>
        <w:pStyle w:val="3"/>
        <w:spacing w:line="240" w:lineRule="auto"/>
        <w:rPr>
          <w:rFonts w:hint="eastAsia" w:ascii="微软雅黑" w:hAnsi="微软雅黑" w:eastAsia="微软雅黑" w:cs="微软雅黑"/>
          <w:color w:val="auto"/>
          <w:sz w:val="24"/>
          <w:szCs w:val="24"/>
        </w:rPr>
      </w:pPr>
      <w:bookmarkStart w:id="116" w:name="_Toc54718206"/>
      <w:bookmarkStart w:id="117" w:name="_Toc2241"/>
      <w:r>
        <w:rPr>
          <w:rFonts w:hint="eastAsia" w:ascii="微软雅黑" w:hAnsi="微软雅黑" w:eastAsia="微软雅黑" w:cs="微软雅黑"/>
          <w:color w:val="auto"/>
          <w:sz w:val="24"/>
          <w:szCs w:val="24"/>
        </w:rPr>
        <w:t>五、质量保证及售后服务</w:t>
      </w:r>
      <w:bookmarkEnd w:id="116"/>
      <w:bookmarkEnd w:id="11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18" w:name="_Toc12985"/>
      <w:bookmarkStart w:id="119"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18"/>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19"/>
    </w:p>
    <w:p>
      <w:pPr>
        <w:pStyle w:val="3"/>
        <w:spacing w:line="240" w:lineRule="auto"/>
        <w:rPr>
          <w:rFonts w:hint="eastAsia" w:ascii="微软雅黑" w:hAnsi="微软雅黑" w:eastAsia="微软雅黑" w:cs="微软雅黑"/>
          <w:color w:val="auto"/>
          <w:sz w:val="24"/>
          <w:szCs w:val="24"/>
        </w:rPr>
      </w:pPr>
      <w:bookmarkStart w:id="120" w:name="_Toc9053"/>
      <w:bookmarkStart w:id="121" w:name="_Toc54718207"/>
      <w:r>
        <w:rPr>
          <w:rFonts w:hint="eastAsia" w:ascii="微软雅黑" w:hAnsi="微软雅黑" w:eastAsia="微软雅黑" w:cs="微软雅黑"/>
          <w:color w:val="auto"/>
          <w:sz w:val="24"/>
          <w:szCs w:val="24"/>
        </w:rPr>
        <w:t>六、付款</w:t>
      </w:r>
      <w:bookmarkEnd w:id="120"/>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3183"/>
      <w:r>
        <w:rPr>
          <w:rFonts w:hint="eastAsia" w:ascii="方正仿宋_GBK" w:hAnsi="宋体" w:eastAsia="方正仿宋_GBK" w:cs="Times New Roman"/>
          <w:color w:val="auto"/>
          <w:sz w:val="24"/>
          <w:szCs w:val="24"/>
        </w:rPr>
        <w:t>（一）本合同使用货币币制如未作特别说明均为人民币。</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8880"/>
      <w:r>
        <w:rPr>
          <w:rFonts w:hint="eastAsia" w:ascii="方正仿宋_GBK" w:hAnsi="宋体" w:eastAsia="方正仿宋_GBK" w:cs="Times New Roman"/>
          <w:color w:val="auto"/>
          <w:sz w:val="24"/>
          <w:szCs w:val="24"/>
        </w:rPr>
        <w:t>（二）付款方式：银行转账。</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24"/>
    </w:p>
    <w:p>
      <w:pPr>
        <w:pStyle w:val="3"/>
        <w:spacing w:line="240" w:lineRule="auto"/>
        <w:rPr>
          <w:rFonts w:hint="eastAsia" w:ascii="微软雅黑" w:hAnsi="微软雅黑" w:eastAsia="微软雅黑" w:cs="微软雅黑"/>
          <w:color w:val="auto"/>
          <w:sz w:val="24"/>
          <w:szCs w:val="24"/>
        </w:rPr>
      </w:pPr>
      <w:bookmarkStart w:id="125" w:name="_Toc54718211"/>
      <w:bookmarkStart w:id="126"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25"/>
      <w:bookmarkEnd w:id="126"/>
    </w:p>
    <w:p>
      <w:pPr>
        <w:snapToGrid w:val="0"/>
        <w:spacing w:line="400" w:lineRule="exact"/>
        <w:ind w:firstLine="480" w:firstLineChars="200"/>
        <w:jc w:val="left"/>
        <w:rPr>
          <w:rFonts w:ascii="方正仿宋_GBK" w:hAnsi="宋体" w:eastAsia="方正仿宋_GBK" w:cs="Times New Roman"/>
          <w:color w:val="auto"/>
          <w:sz w:val="24"/>
          <w:szCs w:val="24"/>
        </w:rPr>
      </w:pPr>
      <w:bookmarkStart w:id="127" w:name="_Toc5382"/>
      <w:r>
        <w:rPr>
          <w:rFonts w:hint="eastAsia" w:ascii="方正仿宋_GBK" w:hAnsi="宋体" w:eastAsia="方正仿宋_GBK" w:cs="Times New Roman"/>
          <w:color w:val="auto"/>
          <w:sz w:val="24"/>
          <w:szCs w:val="24"/>
        </w:rPr>
        <w:t>（一）当事人友好协商达成一致</w:t>
      </w:r>
      <w:bookmarkEnd w:id="127"/>
    </w:p>
    <w:p>
      <w:pPr>
        <w:snapToGrid w:val="0"/>
        <w:spacing w:line="400" w:lineRule="exact"/>
        <w:ind w:firstLine="480" w:firstLineChars="200"/>
        <w:jc w:val="left"/>
        <w:rPr>
          <w:rFonts w:ascii="方正仿宋_GBK" w:hAnsi="宋体" w:eastAsia="方正仿宋_GBK" w:cs="Times New Roman"/>
          <w:color w:val="auto"/>
          <w:sz w:val="24"/>
          <w:szCs w:val="24"/>
        </w:rPr>
      </w:pPr>
      <w:bookmarkStart w:id="128" w:name="_Toc29926"/>
      <w:r>
        <w:rPr>
          <w:rFonts w:hint="eastAsia" w:ascii="方正仿宋_GBK" w:hAnsi="宋体" w:eastAsia="方正仿宋_GBK" w:cs="Times New Roman"/>
          <w:color w:val="auto"/>
          <w:sz w:val="24"/>
          <w:szCs w:val="24"/>
        </w:rPr>
        <w:t>（二）在60天内当事人协商不能达成协议的，可提请医院当地仲裁机构仲裁。</w:t>
      </w:r>
      <w:bookmarkEnd w:id="128"/>
    </w:p>
    <w:p>
      <w:pPr>
        <w:pStyle w:val="3"/>
        <w:spacing w:line="240" w:lineRule="auto"/>
        <w:rPr>
          <w:rFonts w:hint="eastAsia" w:ascii="微软雅黑" w:hAnsi="微软雅黑" w:eastAsia="微软雅黑" w:cs="微软雅黑"/>
          <w:color w:val="auto"/>
          <w:sz w:val="24"/>
          <w:szCs w:val="24"/>
        </w:rPr>
      </w:pPr>
      <w:bookmarkStart w:id="129" w:name="_Toc26580"/>
      <w:bookmarkStart w:id="130" w:name="_Toc54718212"/>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、违约责任</w:t>
      </w:r>
      <w:bookmarkEnd w:id="129"/>
      <w:bookmarkEnd w:id="130"/>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31"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32" w:name="_Toc16142"/>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、合同生效及其它</w:t>
      </w:r>
      <w:bookmarkEnd w:id="131"/>
      <w:bookmarkEnd w:id="132"/>
    </w:p>
    <w:p>
      <w:pPr>
        <w:snapToGrid w:val="0"/>
        <w:spacing w:line="400" w:lineRule="exact"/>
        <w:ind w:firstLine="480" w:firstLineChars="200"/>
        <w:jc w:val="left"/>
        <w:rPr>
          <w:rFonts w:ascii="方正仿宋_GBK" w:hAnsi="宋体" w:eastAsia="方正仿宋_GBK" w:cs="Times New Roman"/>
          <w:color w:val="auto"/>
          <w:sz w:val="24"/>
          <w:szCs w:val="24"/>
        </w:rPr>
      </w:pPr>
      <w:bookmarkStart w:id="133" w:name="_Toc7071"/>
      <w:r>
        <w:rPr>
          <w:rFonts w:hint="eastAsia" w:ascii="方正仿宋_GBK" w:hAnsi="宋体" w:eastAsia="方正仿宋_GBK" w:cs="Times New Roman"/>
          <w:color w:val="auto"/>
          <w:sz w:val="24"/>
          <w:szCs w:val="24"/>
        </w:rPr>
        <w:t>（一）合同生效及其效力应符合《中华人民共和国民法典》有关规定。</w:t>
      </w:r>
      <w:bookmarkEnd w:id="133"/>
    </w:p>
    <w:p>
      <w:pPr>
        <w:snapToGrid w:val="0"/>
        <w:spacing w:line="400" w:lineRule="exact"/>
        <w:ind w:firstLine="480" w:firstLineChars="200"/>
        <w:jc w:val="left"/>
        <w:rPr>
          <w:rFonts w:ascii="方正仿宋_GBK" w:hAnsi="宋体" w:eastAsia="方正仿宋_GBK" w:cs="Times New Roman"/>
          <w:color w:val="auto"/>
          <w:sz w:val="24"/>
          <w:szCs w:val="24"/>
        </w:rPr>
      </w:pPr>
      <w:bookmarkStart w:id="134"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34"/>
    </w:p>
    <w:p>
      <w:pPr>
        <w:snapToGrid w:val="0"/>
        <w:spacing w:line="400" w:lineRule="exact"/>
        <w:ind w:firstLine="480" w:firstLineChars="200"/>
        <w:jc w:val="left"/>
        <w:rPr>
          <w:rFonts w:ascii="方正仿宋_GBK" w:hAnsi="宋体" w:eastAsia="方正仿宋_GBK" w:cs="Times New Roman"/>
          <w:color w:val="auto"/>
          <w:sz w:val="24"/>
          <w:szCs w:val="24"/>
        </w:rPr>
      </w:pPr>
      <w:bookmarkStart w:id="135"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35"/>
    </w:p>
    <w:p>
      <w:pPr>
        <w:snapToGrid w:val="0"/>
        <w:spacing w:line="400" w:lineRule="exact"/>
        <w:ind w:firstLine="480" w:firstLineChars="200"/>
        <w:jc w:val="left"/>
        <w:rPr>
          <w:rFonts w:ascii="方正仿宋_GBK" w:hAnsi="宋体" w:eastAsia="方正仿宋_GBK" w:cs="Times New Roman"/>
          <w:color w:val="auto"/>
          <w:sz w:val="24"/>
          <w:szCs w:val="24"/>
        </w:rPr>
      </w:pPr>
      <w:bookmarkStart w:id="136" w:name="_Toc28233"/>
      <w:r>
        <w:rPr>
          <w:rFonts w:hint="eastAsia" w:ascii="方正仿宋_GBK" w:hAnsi="宋体" w:eastAsia="方正仿宋_GBK" w:cs="Times New Roman"/>
          <w:color w:val="auto"/>
          <w:sz w:val="24"/>
          <w:szCs w:val="24"/>
        </w:rPr>
        <w:t>（四）合同需提供担保的，按《中华人民共和国担保法》规定执行。</w:t>
      </w:r>
      <w:bookmarkEnd w:id="136"/>
    </w:p>
    <w:p>
      <w:pPr>
        <w:snapToGrid w:val="0"/>
        <w:spacing w:line="400" w:lineRule="exact"/>
        <w:ind w:firstLine="480" w:firstLineChars="200"/>
        <w:jc w:val="left"/>
        <w:rPr>
          <w:rFonts w:ascii="方正仿宋_GBK" w:hAnsi="宋体" w:eastAsia="方正仿宋_GBK" w:cs="Times New Roman"/>
          <w:color w:val="auto"/>
          <w:sz w:val="24"/>
          <w:szCs w:val="24"/>
        </w:rPr>
      </w:pPr>
      <w:bookmarkStart w:id="137"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37"/>
    </w:p>
    <w:bookmarkEnd w:id="95"/>
    <w:bookmarkEnd w:id="96"/>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38" w:name="_Hlt41879464"/>
      <w:bookmarkEnd w:id="138"/>
      <w:bookmarkStart w:id="139" w:name="_Toc12789072"/>
      <w:bookmarkStart w:id="140" w:name="_Toc485108795"/>
      <w:bookmarkStart w:id="141" w:name="_Toc13696"/>
      <w:r>
        <w:rPr>
          <w:rFonts w:hint="eastAsia" w:ascii="微软雅黑" w:hAnsi="微软雅黑" w:eastAsia="微软雅黑" w:cs="微软雅黑"/>
          <w:b/>
          <w:color w:val="auto"/>
          <w:sz w:val="36"/>
          <w:szCs w:val="36"/>
        </w:rPr>
        <w:t>第六篇  响应文件格式要求</w:t>
      </w:r>
      <w:bookmarkEnd w:id="139"/>
      <w:bookmarkEnd w:id="140"/>
      <w:bookmarkEnd w:id="141"/>
    </w:p>
    <w:p>
      <w:pPr>
        <w:pStyle w:val="3"/>
        <w:spacing w:line="240" w:lineRule="auto"/>
        <w:rPr>
          <w:rFonts w:hint="eastAsia" w:ascii="微软雅黑" w:hAnsi="微软雅黑" w:eastAsia="微软雅黑" w:cs="微软雅黑"/>
          <w:color w:val="auto"/>
          <w:sz w:val="24"/>
          <w:szCs w:val="24"/>
        </w:rPr>
      </w:pPr>
      <w:bookmarkStart w:id="142" w:name="_Toc27382"/>
      <w:r>
        <w:rPr>
          <w:rFonts w:hint="eastAsia" w:ascii="微软雅黑" w:hAnsi="微软雅黑" w:eastAsia="微软雅黑" w:cs="微软雅黑"/>
          <w:color w:val="auto"/>
          <w:sz w:val="24"/>
          <w:szCs w:val="24"/>
        </w:rPr>
        <w:t>一、经济部分</w:t>
      </w:r>
      <w:bookmarkEnd w:id="142"/>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43" w:name="_Toc6305"/>
      <w:r>
        <w:rPr>
          <w:rFonts w:hint="eastAsia" w:ascii="微软雅黑" w:hAnsi="微软雅黑" w:eastAsia="微软雅黑" w:cs="微软雅黑"/>
          <w:color w:val="auto"/>
          <w:sz w:val="24"/>
          <w:szCs w:val="24"/>
        </w:rPr>
        <w:t>二、服务部分</w:t>
      </w:r>
      <w:bookmarkEnd w:id="14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44" w:name="_Toc7207"/>
      <w:r>
        <w:rPr>
          <w:rFonts w:hint="eastAsia" w:ascii="微软雅黑" w:hAnsi="微软雅黑" w:eastAsia="微软雅黑" w:cs="微软雅黑"/>
          <w:color w:val="auto"/>
          <w:sz w:val="24"/>
          <w:szCs w:val="24"/>
        </w:rPr>
        <w:t>三、商务部分</w:t>
      </w:r>
      <w:bookmarkEnd w:id="144"/>
    </w:p>
    <w:p>
      <w:pPr>
        <w:snapToGrid w:val="0"/>
        <w:spacing w:line="360" w:lineRule="auto"/>
        <w:ind w:firstLine="480" w:firstLineChars="200"/>
        <w:rPr>
          <w:rFonts w:hint="eastAsia" w:ascii="微软雅黑" w:hAnsi="微软雅黑" w:eastAsia="微软雅黑" w:cs="微软雅黑"/>
          <w:color w:val="auto"/>
          <w:sz w:val="24"/>
          <w:szCs w:val="24"/>
        </w:rPr>
      </w:pPr>
      <w:bookmarkStart w:id="145" w:name="_Toc38358147"/>
      <w:bookmarkStart w:id="146" w:name="OLE_LINK10"/>
      <w:bookmarkStart w:id="147" w:name="OLE_LINK11"/>
      <w:r>
        <w:rPr>
          <w:rFonts w:hint="eastAsia" w:ascii="微软雅黑" w:hAnsi="微软雅黑" w:eastAsia="微软雅黑" w:cs="微软雅黑"/>
          <w:color w:val="auto"/>
          <w:sz w:val="24"/>
          <w:szCs w:val="24"/>
        </w:rPr>
        <w:t>（一）按照“第四篇  项目商务需求”提供相应资料</w:t>
      </w:r>
      <w:bookmarkEnd w:id="145"/>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48" w:name="_Toc18417"/>
      <w:r>
        <w:rPr>
          <w:rFonts w:hint="eastAsia" w:ascii="微软雅黑" w:hAnsi="微软雅黑" w:eastAsia="微软雅黑" w:cs="微软雅黑"/>
          <w:color w:val="auto"/>
          <w:sz w:val="24"/>
          <w:szCs w:val="24"/>
        </w:rPr>
        <w:t>四、资格条件及其他</w:t>
      </w:r>
      <w:bookmarkEnd w:id="148"/>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49" w:name="_Toc19884"/>
      <w:r>
        <w:rPr>
          <w:rFonts w:hint="eastAsia" w:ascii="微软雅黑" w:hAnsi="微软雅黑" w:eastAsia="微软雅黑" w:cs="微软雅黑"/>
          <w:color w:val="auto"/>
          <w:sz w:val="24"/>
          <w:szCs w:val="24"/>
        </w:rPr>
        <w:t>五、其他应提供的资料</w:t>
      </w:r>
      <w:bookmarkEnd w:id="149"/>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46"/>
    <w:bookmarkEnd w:id="147"/>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rPr>
      </w:pPr>
      <w:bookmarkStart w:id="150" w:name="_Toc313888360"/>
      <w:bookmarkStart w:id="151" w:name="_Toc313008356"/>
      <w:bookmarkStart w:id="152" w:name="_Toc485108796"/>
      <w:bookmarkStart w:id="153" w:name="_Toc342913419"/>
      <w:bookmarkStart w:id="154" w:name="_Toc480979018"/>
      <w:bookmarkStart w:id="155" w:name="_Toc12789073"/>
      <w:bookmarkStart w:id="156" w:name="_Toc283382454"/>
      <w:r>
        <w:rPr>
          <w:rFonts w:hint="eastAsia"/>
          <w:b/>
          <w:color w:val="auto"/>
        </w:rPr>
        <w:t>经济部分</w:t>
      </w:r>
      <w:bookmarkEnd w:id="150"/>
      <w:bookmarkEnd w:id="151"/>
      <w:bookmarkEnd w:id="152"/>
      <w:bookmarkEnd w:id="153"/>
      <w:bookmarkEnd w:id="154"/>
    </w:p>
    <w:p>
      <w:pPr>
        <w:pStyle w:val="180"/>
        <w:ind w:left="450" w:firstLine="0" w:firstLineChars="0"/>
        <w:rPr>
          <w:b/>
          <w:color w:val="auto"/>
        </w:rPr>
      </w:pPr>
    </w:p>
    <w:bookmarkEnd w:id="155"/>
    <w:bookmarkEnd w:id="156"/>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r>
        <w:rPr>
          <w:rFonts w:hint="eastAsia" w:ascii="方正仿宋_GBK" w:hAnsi="宋体" w:eastAsia="方正仿宋_GBK" w:cs="Times New Roman"/>
          <w:color w:val="auto"/>
          <w:sz w:val="24"/>
          <w:szCs w:val="24"/>
        </w:rPr>
        <w:t>（格式自定）</w:t>
      </w:r>
    </w:p>
    <w:tbl>
      <w:tblPr>
        <w:tblStyle w:val="58"/>
        <w:tblW w:w="7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1164"/>
        <w:gridCol w:w="1380"/>
        <w:gridCol w:w="1757"/>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107" w:type="dxa"/>
            <w:vAlign w:val="center"/>
          </w:tcPr>
          <w:p>
            <w:pPr>
              <w:pStyle w:val="51"/>
              <w:spacing w:before="0" w:beforeAutospacing="0" w:after="0" w:afterAutospacing="0" w:line="480" w:lineRule="exact"/>
              <w:jc w:val="center"/>
              <w:rPr>
                <w:rFonts w:hint="eastAsia" w:ascii="方正仿宋_GBK" w:eastAsia="方正仿宋_GBK"/>
                <w:sz w:val="22"/>
                <w:szCs w:val="22"/>
              </w:rPr>
            </w:pPr>
            <w:r>
              <w:rPr>
                <w:rFonts w:hint="eastAsia" w:ascii="方正仿宋_GBK" w:eastAsia="方正仿宋_GBK"/>
                <w:sz w:val="22"/>
                <w:szCs w:val="22"/>
              </w:rPr>
              <w:t>维修项目</w:t>
            </w:r>
          </w:p>
        </w:tc>
        <w:tc>
          <w:tcPr>
            <w:tcW w:w="1164" w:type="dxa"/>
            <w:vAlign w:val="center"/>
          </w:tcPr>
          <w:p>
            <w:pPr>
              <w:pStyle w:val="51"/>
              <w:spacing w:before="0" w:after="0" w:line="480" w:lineRule="exact"/>
              <w:jc w:val="center"/>
              <w:rPr>
                <w:rFonts w:hint="eastAsia" w:ascii="方正仿宋_GBK" w:eastAsia="方正仿宋_GBK"/>
                <w:sz w:val="22"/>
                <w:szCs w:val="22"/>
                <w:lang w:val="en-US" w:eastAsia="zh-CN"/>
              </w:rPr>
            </w:pPr>
            <w:r>
              <w:rPr>
                <w:rFonts w:hint="eastAsia" w:ascii="方正仿宋_GBK" w:eastAsia="方正仿宋_GBK"/>
                <w:sz w:val="22"/>
                <w:szCs w:val="22"/>
                <w:lang w:val="en-US" w:eastAsia="zh-CN"/>
              </w:rPr>
              <w:t>品牌</w:t>
            </w:r>
          </w:p>
        </w:tc>
        <w:tc>
          <w:tcPr>
            <w:tcW w:w="1380" w:type="dxa"/>
            <w:vAlign w:val="center"/>
          </w:tcPr>
          <w:p>
            <w:pPr>
              <w:pStyle w:val="51"/>
              <w:spacing w:before="0" w:after="0" w:line="480" w:lineRule="exact"/>
              <w:jc w:val="center"/>
              <w:rPr>
                <w:rFonts w:hint="eastAsia" w:ascii="方正仿宋_GBK" w:eastAsia="方正仿宋_GBK"/>
                <w:sz w:val="22"/>
                <w:szCs w:val="22"/>
              </w:rPr>
            </w:pPr>
            <w:r>
              <w:rPr>
                <w:rFonts w:hint="eastAsia" w:ascii="方正仿宋_GBK" w:eastAsia="方正仿宋_GBK"/>
                <w:sz w:val="22"/>
                <w:szCs w:val="22"/>
                <w:lang w:val="en-US" w:eastAsia="zh-CN"/>
              </w:rPr>
              <w:t>规格型号</w:t>
            </w:r>
          </w:p>
        </w:tc>
        <w:tc>
          <w:tcPr>
            <w:tcW w:w="1757" w:type="dxa"/>
            <w:vAlign w:val="center"/>
          </w:tcPr>
          <w:p>
            <w:pPr>
              <w:pStyle w:val="51"/>
              <w:spacing w:before="0" w:after="0" w:line="480" w:lineRule="exact"/>
              <w:jc w:val="center"/>
              <w:rPr>
                <w:rFonts w:hint="eastAsia" w:ascii="方正仿宋_GBK" w:eastAsia="方正仿宋_GBK"/>
                <w:sz w:val="22"/>
                <w:szCs w:val="22"/>
              </w:rPr>
            </w:pPr>
            <w:r>
              <w:rPr>
                <w:rFonts w:hint="eastAsia" w:ascii="方正仿宋_GBK" w:eastAsia="方正仿宋_GBK"/>
                <w:sz w:val="22"/>
                <w:szCs w:val="22"/>
              </w:rPr>
              <w:t>维修价格（元）</w:t>
            </w: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r>
              <w:rPr>
                <w:rFonts w:hint="eastAsia" w:ascii="方正仿宋_GBK" w:eastAsia="方正仿宋_GBK"/>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更换彩行</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更换双焦彩行</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更换管座</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更换开关管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更换行管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更换高清行管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更换小三极管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更换中功率三极管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更换集成块</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更换二极管</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07" w:type="dxa"/>
            <w:vAlign w:val="center"/>
          </w:tcPr>
          <w:p>
            <w:pPr>
              <w:spacing w:line="400" w:lineRule="exact"/>
              <w:jc w:val="center"/>
              <w:rPr>
                <w:rFonts w:hint="eastAsia" w:ascii="方正仿宋_GBK" w:eastAsia="方正仿宋_GBK"/>
                <w:sz w:val="22"/>
                <w:szCs w:val="22"/>
              </w:rPr>
            </w:pPr>
            <w:r>
              <w:rPr>
                <w:rFonts w:hint="eastAsia" w:ascii="方正仿宋_GBK" w:eastAsia="方正仿宋_GBK"/>
                <w:sz w:val="22"/>
                <w:szCs w:val="22"/>
              </w:rPr>
              <w:t>更换电脑主板</w:t>
            </w:r>
          </w:p>
        </w:tc>
        <w:tc>
          <w:tcPr>
            <w:tcW w:w="1164"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380"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757"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c>
          <w:tcPr>
            <w:tcW w:w="1456" w:type="dxa"/>
            <w:vAlign w:val="center"/>
          </w:tcPr>
          <w:p>
            <w:pPr>
              <w:pStyle w:val="51"/>
              <w:spacing w:before="0" w:beforeAutospacing="0" w:after="0" w:afterAutospacing="0" w:line="480" w:lineRule="exact"/>
              <w:jc w:val="center"/>
              <w:rPr>
                <w:rFonts w:hint="eastAsia" w:ascii="方正仿宋_GBK" w:eastAsia="方正仿宋_GBK"/>
                <w:sz w:val="22"/>
                <w:szCs w:val="22"/>
              </w:rPr>
            </w:pPr>
          </w:p>
        </w:tc>
      </w:tr>
    </w:tbl>
    <w:p>
      <w:pPr>
        <w:snapToGrid w:val="0"/>
        <w:spacing w:line="500" w:lineRule="exact"/>
        <w:ind w:firstLine="480" w:firstLineChars="200"/>
        <w:rPr>
          <w:rFonts w:hint="eastAsia" w:ascii="方正仿宋_GBK" w:hAnsi="宋体" w:eastAsia="方正仿宋_GBK" w:cs="Times New Roman"/>
          <w:color w:val="auto"/>
          <w:sz w:val="24"/>
          <w:szCs w:val="28"/>
        </w:rPr>
      </w:pP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lang w:val="en-US" w:eastAsia="zh-CN"/>
        </w:rPr>
      </w:pPr>
      <w:r>
        <w:rPr>
          <w:rFonts w:hint="eastAsia" w:ascii="方正仿宋_GBK" w:hAnsi="宋体" w:eastAsia="方正仿宋_GBK" w:cs="Times New Roman"/>
          <w:color w:val="auto"/>
          <w:sz w:val="24"/>
          <w:szCs w:val="28"/>
        </w:rPr>
        <w:t>注：</w:t>
      </w:r>
      <w:r>
        <w:rPr>
          <w:rFonts w:hint="eastAsia" w:ascii="方正仿宋_GBK" w:hAnsi="宋体" w:eastAsia="方正仿宋_GBK" w:cs="Times New Roman"/>
          <w:color w:val="auto"/>
          <w:sz w:val="24"/>
          <w:szCs w:val="28"/>
          <w:lang w:val="en-US" w:eastAsia="zh-CN"/>
        </w:rPr>
        <w:t>1、各项报价均包含人工费、材料费、保险费、税费等各项费用。</w:t>
      </w: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2、</w:t>
      </w:r>
      <w:r>
        <w:rPr>
          <w:rFonts w:hint="eastAsia" w:ascii="方正仿宋_GBK" w:hAnsi="宋体" w:eastAsia="方正仿宋_GBK" w:cs="Times New Roman"/>
          <w:color w:val="auto"/>
          <w:sz w:val="24"/>
          <w:szCs w:val="28"/>
        </w:rPr>
        <w:t>请供应商完整填写本表。</w:t>
      </w:r>
    </w:p>
    <w:p>
      <w:pPr>
        <w:numPr>
          <w:ilvl w:val="0"/>
          <w:numId w:val="0"/>
        </w:numPr>
        <w:snapToGrid w:val="0"/>
        <w:spacing w:line="50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3、</w:t>
      </w:r>
      <w:r>
        <w:rPr>
          <w:rFonts w:hint="eastAsia" w:ascii="方正仿宋_GBK" w:hAnsi="宋体" w:eastAsia="方正仿宋_GBK" w:cs="Times New Roman"/>
          <w:color w:val="auto"/>
          <w:sz w:val="24"/>
          <w:szCs w:val="28"/>
        </w:rPr>
        <w:t>该表可扩展</w:t>
      </w:r>
      <w:bookmarkStart w:id="157" w:name="OLE_LINK2"/>
      <w:bookmarkStart w:id="158" w:name="OLE_LINK1"/>
      <w:r>
        <w:rPr>
          <w:rFonts w:hint="eastAsia" w:ascii="方正仿宋_GBK" w:hAnsi="宋体" w:eastAsia="方正仿宋_GBK" w:cs="Times New Roman"/>
          <w:color w:val="auto"/>
          <w:sz w:val="24"/>
          <w:szCs w:val="28"/>
        </w:rPr>
        <w:t>，并逐页签字或盖章。</w:t>
      </w:r>
      <w:bookmarkEnd w:id="157"/>
      <w:bookmarkEnd w:id="158"/>
    </w:p>
    <w:p>
      <w:pPr>
        <w:spacing w:line="360" w:lineRule="auto"/>
        <w:jc w:val="center"/>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59" w:name="_Toc480979019"/>
      <w:bookmarkStart w:id="160" w:name="_Toc342913420"/>
      <w:bookmarkStart w:id="161" w:name="_Toc313888361"/>
      <w:bookmarkStart w:id="162" w:name="_Toc313008357"/>
      <w:bookmarkStart w:id="163" w:name="_Toc485108797"/>
      <w:r>
        <w:rPr>
          <w:rFonts w:hint="eastAsia"/>
          <w:b/>
          <w:color w:val="auto"/>
        </w:rPr>
        <w:t>二、服务部分</w:t>
      </w:r>
      <w:bookmarkEnd w:id="159"/>
      <w:bookmarkEnd w:id="160"/>
      <w:bookmarkEnd w:id="161"/>
      <w:bookmarkEnd w:id="162"/>
      <w:bookmarkEnd w:id="163"/>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5.若“响应情况”栏中仅填写“无偏离”或“有偏离”等内容而未作实质性参数描述，该供应商将</w:t>
      </w:r>
      <w:r>
        <w:rPr>
          <w:rFonts w:hint="eastAsia" w:ascii="方正仿宋_GBK" w:hAnsi="宋体" w:eastAsia="方正仿宋_GBK" w:cs="Times New Roman"/>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64" w:name="_Toc485108798"/>
      <w:bookmarkStart w:id="165" w:name="_Toc313888362"/>
      <w:bookmarkStart w:id="166" w:name="_Toc480979020"/>
      <w:bookmarkStart w:id="167" w:name="_Toc342913421"/>
      <w:bookmarkStart w:id="168" w:name="_Toc313008358"/>
      <w:r>
        <w:rPr>
          <w:rFonts w:hint="eastAsia"/>
          <w:b/>
          <w:color w:val="auto"/>
        </w:rPr>
        <w:t>三、商务部分</w:t>
      </w:r>
      <w:bookmarkEnd w:id="164"/>
      <w:bookmarkEnd w:id="165"/>
      <w:bookmarkEnd w:id="166"/>
      <w:bookmarkEnd w:id="167"/>
      <w:bookmarkEnd w:id="168"/>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69"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69"/>
      <w:bookmarkStart w:id="170" w:name="_Toc342913422"/>
      <w:bookmarkStart w:id="171" w:name="_Toc313008359"/>
      <w:bookmarkStart w:id="172" w:name="_Toc313888363"/>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70"/>
      <w:bookmarkEnd w:id="171"/>
      <w:bookmarkEnd w:id="172"/>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73" w:name="OLE_LINK4"/>
      <w:bookmarkStart w:id="174"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73"/>
    <w:bookmarkEnd w:id="174"/>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Style w:val="2"/>
        <w:bidi w:val="0"/>
        <w:jc w:val="center"/>
        <w:rPr>
          <w:rFonts w:hint="eastAsia" w:ascii="微软雅黑" w:hAnsi="微软雅黑" w:eastAsia="微软雅黑" w:cs="微软雅黑"/>
          <w:color w:val="auto"/>
          <w:sz w:val="36"/>
          <w:szCs w:val="36"/>
          <w:lang w:val="en-US" w:eastAsia="zh-CN"/>
        </w:rPr>
      </w:pPr>
      <w:bookmarkStart w:id="175" w:name="_Toc23716"/>
      <w:bookmarkStart w:id="176" w:name="_Toc27256"/>
      <w:r>
        <w:rPr>
          <w:rFonts w:hint="eastAsia" w:ascii="微软雅黑" w:hAnsi="微软雅黑" w:eastAsia="微软雅黑" w:cs="微软雅黑"/>
          <w:color w:val="auto"/>
          <w:sz w:val="36"/>
          <w:szCs w:val="36"/>
          <w:lang w:val="en-US" w:eastAsia="zh-CN"/>
        </w:rPr>
        <w:t>重庆医科大学附属永川医院</w:t>
      </w:r>
      <w:bookmarkEnd w:id="175"/>
    </w:p>
    <w:p>
      <w:pPr>
        <w:pStyle w:val="2"/>
        <w:bidi w:val="0"/>
        <w:jc w:val="center"/>
        <w:rPr>
          <w:rFonts w:hint="eastAsia" w:ascii="微软雅黑" w:hAnsi="微软雅黑" w:eastAsia="微软雅黑" w:cs="微软雅黑"/>
          <w:color w:val="auto"/>
          <w:sz w:val="36"/>
          <w:szCs w:val="36"/>
          <w:lang w:val="en-US" w:eastAsia="zh-CN"/>
        </w:rPr>
      </w:pPr>
      <w:bookmarkStart w:id="177" w:name="_Toc23798"/>
      <w:r>
        <w:rPr>
          <w:rFonts w:hint="eastAsia" w:ascii="微软雅黑" w:hAnsi="微软雅黑" w:eastAsia="微软雅黑" w:cs="微软雅黑"/>
          <w:color w:val="auto"/>
          <w:sz w:val="36"/>
          <w:szCs w:val="36"/>
          <w:lang w:val="en-US" w:eastAsia="zh-CN"/>
        </w:rPr>
        <w:t>参加医院院内采购活动来院人员</w:t>
      </w:r>
      <w:bookmarkEnd w:id="177"/>
    </w:p>
    <w:p>
      <w:pPr>
        <w:pStyle w:val="2"/>
        <w:bidi w:val="0"/>
        <w:jc w:val="center"/>
        <w:rPr>
          <w:rFonts w:hint="eastAsia" w:ascii="微软雅黑" w:hAnsi="微软雅黑" w:eastAsia="微软雅黑" w:cs="微软雅黑"/>
          <w:color w:val="auto"/>
          <w:sz w:val="36"/>
          <w:szCs w:val="36"/>
          <w:lang w:eastAsia="zh-CN"/>
        </w:rPr>
      </w:pPr>
      <w:bookmarkStart w:id="178" w:name="_Toc27460"/>
      <w:r>
        <w:rPr>
          <w:rFonts w:hint="eastAsia" w:ascii="微软雅黑" w:hAnsi="微软雅黑" w:eastAsia="微软雅黑" w:cs="微软雅黑"/>
          <w:color w:val="auto"/>
          <w:sz w:val="36"/>
          <w:szCs w:val="36"/>
        </w:rPr>
        <w:t>新冠肺炎疫情防控工作</w:t>
      </w:r>
      <w:r>
        <w:rPr>
          <w:rFonts w:hint="eastAsia" w:ascii="微软雅黑" w:hAnsi="微软雅黑" w:eastAsia="微软雅黑" w:cs="微软雅黑"/>
          <w:color w:val="auto"/>
          <w:sz w:val="36"/>
          <w:szCs w:val="36"/>
          <w:lang w:eastAsia="zh-CN"/>
        </w:rPr>
        <w:t>告知书</w:t>
      </w:r>
      <w:bookmarkEnd w:id="176"/>
      <w:bookmarkEnd w:id="178"/>
    </w:p>
    <w:p>
      <w:pPr>
        <w:pStyle w:val="35"/>
        <w:rPr>
          <w:rFonts w:hint="eastAsia"/>
          <w:color w:val="auto"/>
          <w:lang w:eastAsia="zh-CN"/>
        </w:rPr>
      </w:pPr>
    </w:p>
    <w:p>
      <w:pPr>
        <w:pStyle w:val="35"/>
        <w:rPr>
          <w:rFonts w:hint="eastAsia"/>
          <w:color w:val="auto"/>
        </w:rPr>
      </w:pP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为切实保障</w:t>
      </w:r>
      <w:r>
        <w:rPr>
          <w:rFonts w:hint="eastAsia" w:ascii="方正仿宋_GBK" w:hAnsi="宋体" w:eastAsia="方正仿宋_GBK" w:cs="Times New Roman"/>
          <w:color w:val="auto"/>
          <w:sz w:val="24"/>
          <w:szCs w:val="24"/>
          <w:lang w:eastAsia="zh-CN"/>
        </w:rPr>
        <w:t>本院疫情防控安全，维持正常工作</w:t>
      </w:r>
      <w:r>
        <w:rPr>
          <w:rFonts w:hint="eastAsia" w:ascii="方正仿宋_GBK" w:hAnsi="宋体" w:eastAsia="方正仿宋_GBK" w:cs="Times New Roman"/>
          <w:color w:val="auto"/>
          <w:sz w:val="24"/>
          <w:szCs w:val="24"/>
        </w:rPr>
        <w:t>秩序，根据《</w:t>
      </w:r>
      <w:r>
        <w:rPr>
          <w:rFonts w:hint="default" w:ascii="方正仿宋_GBK" w:hAnsi="宋体" w:eastAsia="方正仿宋_GBK" w:cs="Times New Roman"/>
          <w:color w:val="auto"/>
          <w:sz w:val="24"/>
          <w:szCs w:val="24"/>
          <w:lang w:val="en-US" w:eastAsia="zh-CN"/>
        </w:rPr>
        <w:t>关于做好</w:t>
      </w:r>
      <w:r>
        <w:rPr>
          <w:rFonts w:hint="eastAsia" w:ascii="方正仿宋_GBK" w:hAnsi="宋体" w:eastAsia="方正仿宋_GBK" w:cs="Times New Roman"/>
          <w:color w:val="auto"/>
          <w:sz w:val="24"/>
          <w:szCs w:val="24"/>
          <w:lang w:val="en-US" w:eastAsia="zh-CN"/>
        </w:rPr>
        <w:t>当前国内重点地区</w:t>
      </w:r>
      <w:r>
        <w:rPr>
          <w:rFonts w:hint="default" w:ascii="方正仿宋_GBK" w:hAnsi="宋体" w:eastAsia="方正仿宋_GBK" w:cs="Times New Roman"/>
          <w:color w:val="auto"/>
          <w:sz w:val="24"/>
          <w:szCs w:val="24"/>
          <w:lang w:eastAsia="zh-CN"/>
        </w:rPr>
        <w:t>来渝返渝人员</w:t>
      </w:r>
      <w:r>
        <w:rPr>
          <w:rFonts w:hint="eastAsia" w:ascii="方正仿宋_GBK" w:hAnsi="宋体" w:eastAsia="方正仿宋_GBK" w:cs="Times New Roman"/>
          <w:color w:val="auto"/>
          <w:sz w:val="24"/>
          <w:szCs w:val="24"/>
          <w:lang w:val="en-US" w:eastAsia="zh-CN"/>
        </w:rPr>
        <w:t>健康管理</w:t>
      </w:r>
      <w:r>
        <w:rPr>
          <w:rFonts w:hint="default" w:ascii="方正仿宋_GBK" w:hAnsi="宋体" w:eastAsia="方正仿宋_GBK" w:cs="Times New Roman"/>
          <w:color w:val="auto"/>
          <w:sz w:val="24"/>
          <w:szCs w:val="24"/>
          <w:lang w:eastAsia="zh-CN"/>
        </w:rPr>
        <w:t>的通知</w:t>
      </w:r>
      <w:r>
        <w:rPr>
          <w:rFonts w:hint="eastAsia" w:ascii="方正仿宋_GBK" w:hAnsi="宋体" w:eastAsia="方正仿宋_GBK" w:cs="Times New Roman"/>
          <w:color w:val="auto"/>
          <w:sz w:val="24"/>
          <w:szCs w:val="24"/>
        </w:rPr>
        <w:t>》（</w:t>
      </w:r>
      <w:r>
        <w:rPr>
          <w:rFonts w:hint="default" w:ascii="方正仿宋_GBK" w:hAnsi="宋体" w:eastAsia="方正仿宋_GBK" w:cs="Times New Roman"/>
          <w:color w:val="auto"/>
          <w:sz w:val="24"/>
          <w:szCs w:val="24"/>
          <w:lang w:eastAsia="zh-CN"/>
        </w:rPr>
        <w:t>渝肺炎组疫发〔202</w:t>
      </w:r>
      <w:r>
        <w:rPr>
          <w:rFonts w:hint="eastAsia" w:ascii="方正仿宋_GBK" w:hAnsi="宋体" w:eastAsia="方正仿宋_GBK" w:cs="Times New Roman"/>
          <w:color w:val="auto"/>
          <w:sz w:val="24"/>
          <w:szCs w:val="24"/>
          <w:lang w:val="en-US" w:eastAsia="zh-CN"/>
        </w:rPr>
        <w:t>2</w:t>
      </w:r>
      <w:r>
        <w:rPr>
          <w:rFonts w:hint="default"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default" w:ascii="方正仿宋_GBK" w:hAnsi="宋体" w:eastAsia="方正仿宋_GBK" w:cs="Times New Roman"/>
          <w:color w:val="auto"/>
          <w:sz w:val="24"/>
          <w:szCs w:val="24"/>
          <w:lang w:eastAsia="zh-CN"/>
        </w:rPr>
        <w:t>号</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《疫情期间工作人员离永返永返岗管理制度的通知》</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重医永川医院肺炎组〔2021〕13号），结</w:t>
      </w:r>
      <w:r>
        <w:rPr>
          <w:rFonts w:hint="eastAsia" w:ascii="方正仿宋_GBK" w:hAnsi="宋体" w:eastAsia="方正仿宋_GBK" w:cs="Times New Roman"/>
          <w:color w:val="auto"/>
          <w:sz w:val="24"/>
          <w:szCs w:val="24"/>
          <w:lang w:eastAsia="zh-CN"/>
        </w:rPr>
        <w:t>合本院实际，</w:t>
      </w:r>
      <w:r>
        <w:rPr>
          <w:rFonts w:hint="eastAsia" w:ascii="方正仿宋_GBK" w:hAnsi="宋体" w:eastAsia="方正仿宋_GBK" w:cs="Times New Roman"/>
          <w:color w:val="auto"/>
          <w:sz w:val="24"/>
          <w:szCs w:val="24"/>
        </w:rPr>
        <w:t>现就持续统筹做好疫情防控工作</w:t>
      </w:r>
      <w:r>
        <w:rPr>
          <w:rFonts w:hint="eastAsia" w:ascii="方正仿宋_GBK" w:hAnsi="宋体" w:eastAsia="方正仿宋_GBK" w:cs="Times New Roman"/>
          <w:color w:val="auto"/>
          <w:sz w:val="24"/>
          <w:szCs w:val="24"/>
          <w:lang w:eastAsia="zh-CN"/>
        </w:rPr>
        <w:t>告知</w:t>
      </w:r>
      <w:r>
        <w:rPr>
          <w:rFonts w:hint="eastAsia" w:ascii="方正仿宋_GBK" w:hAnsi="宋体" w:eastAsia="方正仿宋_GBK" w:cs="Times New Roman"/>
          <w:color w:val="auto"/>
          <w:sz w:val="24"/>
          <w:szCs w:val="24"/>
        </w:rPr>
        <w:t>如下</w:t>
      </w:r>
      <w:r>
        <w:rPr>
          <w:rFonts w:hint="eastAsia" w:ascii="方正仿宋_GBK" w:hAnsi="宋体" w:eastAsia="方正仿宋_GBK" w:cs="Times New Roman"/>
          <w:color w:val="auto"/>
          <w:sz w:val="24"/>
          <w:szCs w:val="24"/>
          <w:lang w:eastAsia="zh-CN"/>
        </w:rPr>
        <w:t>，请配合完成。</w:t>
      </w:r>
    </w:p>
    <w:p>
      <w:pPr>
        <w:widowControl/>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1、所有到重庆医科大学附属永川医院参加采购相关活动的人员，均参照本医院职工疫情管理规定执行。</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境内重点地区来渝返渝人员</w:t>
      </w:r>
      <w:r>
        <w:rPr>
          <w:rFonts w:hint="eastAsia" w:ascii="方正仿宋_GBK" w:hAnsi="宋体" w:eastAsia="方正仿宋_GBK" w:cs="Times New Roman"/>
          <w:color w:val="auto"/>
          <w:sz w:val="24"/>
          <w:szCs w:val="24"/>
          <w:lang w:eastAsia="zh-CN"/>
        </w:rPr>
        <w:t>实行</w:t>
      </w:r>
      <w:r>
        <w:rPr>
          <w:rFonts w:hint="eastAsia" w:ascii="方正仿宋_GBK" w:hAnsi="宋体" w:eastAsia="方正仿宋_GBK" w:cs="Times New Roman"/>
          <w:color w:val="auto"/>
          <w:sz w:val="24"/>
          <w:szCs w:val="24"/>
        </w:rPr>
        <w:t>分类管理</w:t>
      </w:r>
      <w:r>
        <w:rPr>
          <w:rFonts w:hint="eastAsia" w:ascii="方正仿宋_GBK" w:hAnsi="宋体" w:eastAsia="方正仿宋_GBK" w:cs="Times New Roman"/>
          <w:color w:val="auto"/>
          <w:sz w:val="24"/>
          <w:szCs w:val="24"/>
          <w:lang w:eastAsia="zh-CN"/>
        </w:rPr>
        <w:t>，具体如下：</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对高、中风险区来渝返渝人员和外省（区、市）确定的特定时段、特定空间高风险人群，施行集中隔离医学观察，第1、4、7、10、14天各做1次核酸检测。</w:t>
      </w:r>
      <w:r>
        <w:rPr>
          <w:rFonts w:hint="eastAsia" w:ascii="方正仿宋_GBK" w:hAnsi="宋体" w:eastAsia="方正仿宋_GBK" w:cs="Times New Roman"/>
          <w:color w:val="auto"/>
          <w:sz w:val="24"/>
          <w:szCs w:val="24"/>
          <w:lang w:eastAsia="zh-CN"/>
        </w:rPr>
        <w:t>到本院办事须持集中医学观察期间</w:t>
      </w:r>
      <w:r>
        <w:rPr>
          <w:rFonts w:hint="eastAsia" w:ascii="方正仿宋_GBK" w:hAnsi="宋体" w:eastAsia="方正仿宋_GBK" w:cs="Times New Roman"/>
          <w:color w:val="auto"/>
          <w:sz w:val="24"/>
          <w:szCs w:val="24"/>
          <w:lang w:val="en-US" w:eastAsia="zh-CN"/>
        </w:rPr>
        <w:t>5次核酸阴性证明+</w:t>
      </w:r>
      <w:r>
        <w:rPr>
          <w:rFonts w:hint="eastAsia" w:ascii="方正仿宋_GBK" w:hAnsi="宋体" w:eastAsia="方正仿宋_GBK" w:cs="Times New Roman"/>
          <w:color w:val="auto"/>
          <w:sz w:val="24"/>
          <w:szCs w:val="24"/>
          <w:lang w:eastAsia="zh-CN"/>
        </w:rPr>
        <w:t>解除隔离证明</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无法提供者严禁到本院办事。</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对高风险区所在县（市、区）的其他低风险地区来渝返渝人员，施行7天居家隔离+7天健康监测（第1、7、10、14天各做1次核酸检测）。</w:t>
      </w:r>
      <w:r>
        <w:rPr>
          <w:rFonts w:hint="eastAsia" w:ascii="方正仿宋_GBK" w:hAnsi="宋体" w:eastAsia="方正仿宋_GBK" w:cs="Times New Roman"/>
          <w:color w:val="auto"/>
          <w:sz w:val="24"/>
          <w:szCs w:val="24"/>
          <w:lang w:eastAsia="zh-CN"/>
        </w:rPr>
        <w:t>到本院办事须持居家隔离和健康监测期间</w:t>
      </w:r>
      <w:r>
        <w:rPr>
          <w:rFonts w:hint="eastAsia" w:ascii="方正仿宋_GBK" w:hAnsi="宋体" w:eastAsia="方正仿宋_GBK" w:cs="Times New Roman"/>
          <w:color w:val="auto"/>
          <w:sz w:val="24"/>
          <w:szCs w:val="24"/>
          <w:lang w:val="en-US" w:eastAsia="zh-CN"/>
        </w:rPr>
        <w:t>4次核酸阴性证明</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对中风险区所在县（市、区）的其他低风险区来渝返渝人员和外省（区、市）高风险岗位的来渝返渝人员（自行申报），实施14天自我健康监测（第1、7、10、14天各做1次核酸检测，前</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次检测结果出来之前原则上居家观察）。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前2次核酸阴性证明+健康绿码+行程码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对高、中风险区所在地市的其他县（市、区）来渝返渝人员和未划定高、中风险区但出现本土病例的所在地市来渝返渝人员，实施7天自我健康监测（在</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天内完成2次核酸检测，2次采样间隔至少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小时，2次检测结果出来前原则上居家观察）。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default" w:ascii="方正仿宋_GBK" w:hAnsi="宋体" w:eastAsia="方正仿宋_GBK" w:cs="Times New Roman"/>
          <w:color w:val="auto"/>
          <w:sz w:val="24"/>
          <w:szCs w:val="24"/>
          <w:lang w:val="en-US" w:eastAsia="zh-CN"/>
        </w:rPr>
      </w:pPr>
      <w:r>
        <w:rPr>
          <w:rFonts w:hint="default" w:ascii="方正仿宋_GBK" w:hAnsi="宋体" w:eastAsia="方正仿宋_GBK" w:cs="Times New Roman"/>
          <w:color w:val="auto"/>
          <w:sz w:val="24"/>
          <w:szCs w:val="24"/>
        </w:rPr>
        <w:t>（5）除外上述情形的市外低风险区来渝返渝人员，参照第（4）条执行</w:t>
      </w:r>
      <w:r>
        <w:rPr>
          <w:rFonts w:hint="eastAsia" w:ascii="方正仿宋_GBK" w:hAnsi="宋体" w:eastAsia="方正仿宋_GBK" w:cs="Times New Roman"/>
          <w:color w:val="auto"/>
          <w:sz w:val="24"/>
          <w:szCs w:val="24"/>
          <w:lang w:eastAsia="zh-CN"/>
        </w:rPr>
        <w:t>，原则上需</w:t>
      </w:r>
      <w:r>
        <w:rPr>
          <w:rFonts w:hint="eastAsia" w:ascii="方正仿宋_GBK" w:hAnsi="宋体" w:eastAsia="方正仿宋_GBK" w:cs="Times New Roman"/>
          <w:color w:val="auto"/>
          <w:sz w:val="24"/>
          <w:szCs w:val="24"/>
          <w:lang w:val="en-US" w:eastAsia="zh-CN"/>
        </w:rPr>
        <w:t>进行</w:t>
      </w:r>
      <w:r>
        <w:rPr>
          <w:rFonts w:hint="eastAsia" w:ascii="方正仿宋_GBK" w:hAnsi="宋体" w:eastAsia="方正仿宋_GBK" w:cs="Times New Roman"/>
          <w:color w:val="auto"/>
          <w:sz w:val="24"/>
          <w:szCs w:val="24"/>
        </w:rPr>
        <w:t>2次</w:t>
      </w:r>
      <w:r>
        <w:rPr>
          <w:rFonts w:hint="eastAsia" w:ascii="方正仿宋_GBK" w:hAnsi="宋体" w:eastAsia="方正仿宋_GBK" w:cs="Times New Roman"/>
          <w:color w:val="auto"/>
          <w:sz w:val="24"/>
          <w:szCs w:val="24"/>
          <w:lang w:eastAsia="zh-CN"/>
        </w:rPr>
        <w:t>核酸</w:t>
      </w:r>
      <w:r>
        <w:rPr>
          <w:rFonts w:hint="eastAsia" w:ascii="方正仿宋_GBK" w:hAnsi="宋体" w:eastAsia="方正仿宋_GBK" w:cs="Times New Roman"/>
          <w:color w:val="auto"/>
          <w:sz w:val="24"/>
          <w:szCs w:val="24"/>
        </w:rPr>
        <w:t>检测</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eastAsia="zh-CN"/>
        </w:rPr>
        <w:t>）且</w:t>
      </w:r>
      <w:r>
        <w:rPr>
          <w:rFonts w:hint="eastAsia" w:ascii="方正仿宋_GBK" w:hAnsi="宋体" w:eastAsia="方正仿宋_GBK" w:cs="Times New Roman"/>
          <w:color w:val="auto"/>
          <w:sz w:val="24"/>
          <w:szCs w:val="24"/>
        </w:rPr>
        <w:t>结果</w:t>
      </w:r>
      <w:r>
        <w:rPr>
          <w:rFonts w:hint="eastAsia" w:ascii="方正仿宋_GBK" w:hAnsi="宋体" w:eastAsia="方正仿宋_GBK" w:cs="Times New Roman"/>
          <w:color w:val="auto"/>
          <w:sz w:val="24"/>
          <w:szCs w:val="24"/>
          <w:lang w:eastAsia="zh-CN"/>
        </w:rPr>
        <w:t>阴性方可来本院办事，到本院办事须持</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color w:val="auto"/>
        </w:rPr>
      </w:pPr>
      <w:r>
        <w:rPr>
          <w:rFonts w:hint="eastAsia" w:ascii="方正仿宋_GBK" w:hAnsi="宋体" w:eastAsia="方正仿宋_GBK" w:cs="Times New Roman"/>
          <w:color w:val="auto"/>
          <w:sz w:val="24"/>
          <w:szCs w:val="24"/>
          <w:lang w:val="en-US" w:eastAsia="zh-CN"/>
        </w:rPr>
        <w:t>3、重庆市内人员持48小时内核酸检测阴性证明+健康绿码+行程码。如重庆市发现本土疫情，则严格按照上级要求执行相关管理规定。</w:t>
      </w:r>
    </w:p>
    <w:p>
      <w:pPr>
        <w:rPr>
          <w:color w:val="auto"/>
        </w:rPr>
      </w:pPr>
    </w:p>
    <w:sectPr>
      <w:headerReference r:id="rId8"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4A2DD9"/>
    <w:rsid w:val="04DA26C6"/>
    <w:rsid w:val="07F26429"/>
    <w:rsid w:val="0A2166A1"/>
    <w:rsid w:val="0E0E625A"/>
    <w:rsid w:val="0E4D3D6E"/>
    <w:rsid w:val="0E5721EA"/>
    <w:rsid w:val="0E5A796A"/>
    <w:rsid w:val="109D57E0"/>
    <w:rsid w:val="134E0964"/>
    <w:rsid w:val="14C6168E"/>
    <w:rsid w:val="18130842"/>
    <w:rsid w:val="1CED540D"/>
    <w:rsid w:val="1DD87EDC"/>
    <w:rsid w:val="1F6D6E4A"/>
    <w:rsid w:val="1FCE723D"/>
    <w:rsid w:val="204C6181"/>
    <w:rsid w:val="20FB0BC7"/>
    <w:rsid w:val="23743B1F"/>
    <w:rsid w:val="25B7688A"/>
    <w:rsid w:val="25B91E1A"/>
    <w:rsid w:val="26380176"/>
    <w:rsid w:val="275D539C"/>
    <w:rsid w:val="28CD4235"/>
    <w:rsid w:val="2BBD2276"/>
    <w:rsid w:val="2F2348BD"/>
    <w:rsid w:val="2F6F1AD9"/>
    <w:rsid w:val="2FD06C0B"/>
    <w:rsid w:val="30A44277"/>
    <w:rsid w:val="3361798A"/>
    <w:rsid w:val="35E87A5C"/>
    <w:rsid w:val="369E4A52"/>
    <w:rsid w:val="38442273"/>
    <w:rsid w:val="38C010B0"/>
    <w:rsid w:val="391C67AE"/>
    <w:rsid w:val="39A3534F"/>
    <w:rsid w:val="3B30241A"/>
    <w:rsid w:val="3C4F6F1A"/>
    <w:rsid w:val="3DBA03C3"/>
    <w:rsid w:val="3F0062A9"/>
    <w:rsid w:val="3F0A25D1"/>
    <w:rsid w:val="3FAF1A7E"/>
    <w:rsid w:val="41007A8F"/>
    <w:rsid w:val="42030507"/>
    <w:rsid w:val="461B60BF"/>
    <w:rsid w:val="475461C4"/>
    <w:rsid w:val="492C6FBB"/>
    <w:rsid w:val="499D1F70"/>
    <w:rsid w:val="4A1025A8"/>
    <w:rsid w:val="4AD41B9B"/>
    <w:rsid w:val="4C4E289A"/>
    <w:rsid w:val="506D181E"/>
    <w:rsid w:val="514069D9"/>
    <w:rsid w:val="51D77CAA"/>
    <w:rsid w:val="52ED493F"/>
    <w:rsid w:val="53740BBC"/>
    <w:rsid w:val="53AF5BA9"/>
    <w:rsid w:val="55297C80"/>
    <w:rsid w:val="56FF2E93"/>
    <w:rsid w:val="5B3D37B4"/>
    <w:rsid w:val="5B3E21DC"/>
    <w:rsid w:val="5BC414F3"/>
    <w:rsid w:val="5CAE15E3"/>
    <w:rsid w:val="5F3F2DAC"/>
    <w:rsid w:val="6022194E"/>
    <w:rsid w:val="619C43F3"/>
    <w:rsid w:val="6269072D"/>
    <w:rsid w:val="62A30CCB"/>
    <w:rsid w:val="63F76DDC"/>
    <w:rsid w:val="68F43A4A"/>
    <w:rsid w:val="6972525B"/>
    <w:rsid w:val="6B28360F"/>
    <w:rsid w:val="6B9F4D55"/>
    <w:rsid w:val="6DC70D5C"/>
    <w:rsid w:val="71231A63"/>
    <w:rsid w:val="73B34AD5"/>
    <w:rsid w:val="75BB4292"/>
    <w:rsid w:val="783A1618"/>
    <w:rsid w:val="7908485F"/>
    <w:rsid w:val="793F0B2C"/>
    <w:rsid w:val="797D07AB"/>
    <w:rsid w:val="7B306E47"/>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14750</Words>
  <Characters>15099</Characters>
  <Lines>182</Lines>
  <Paragraphs>51</Paragraphs>
  <TotalTime>13</TotalTime>
  <ScaleCrop>false</ScaleCrop>
  <LinksUpToDate>false</LinksUpToDate>
  <CharactersWithSpaces>16130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2022-09-30T00:39:50Z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D90EFDEDCD294DEAB041A069E42458C9</vt:lpwstr>
  </property>
</Properties>
</file>