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2022FW035</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电视机维修服务</w:t>
      </w: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二〇二二年</w:t>
      </w:r>
      <w:r>
        <w:rPr>
          <w:rFonts w:hint="eastAsia" w:ascii="方正小标宋_GBK" w:hAnsi="宋体" w:eastAsia="方正小标宋_GBK" w:cs="Times New Roman"/>
          <w:color w:val="auto"/>
          <w:sz w:val="28"/>
          <w:szCs w:val="28"/>
          <w:lang w:val="en-US" w:eastAsia="zh-CN"/>
        </w:rPr>
        <w:t>九</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lang w:val="en-US" w:eastAsia="zh-CN"/>
        </w:rPr>
        <w:t>重庆医科大学附属永川医院参加医院院内采购活动来院人员</w:t>
      </w:r>
      <w:r>
        <w:rPr>
          <w:rFonts w:hint="eastAsia" w:ascii="微软雅黑" w:hAnsi="微软雅黑" w:eastAsia="微软雅黑" w:cs="微软雅黑"/>
          <w:color w:val="auto"/>
          <w:szCs w:val="36"/>
        </w:rPr>
        <w:t>新冠肺炎疫情防控工作</w:t>
      </w:r>
      <w:r>
        <w:rPr>
          <w:rFonts w:hint="eastAsia" w:ascii="微软雅黑" w:hAnsi="微软雅黑" w:eastAsia="微软雅黑" w:cs="微软雅黑"/>
          <w:color w:val="auto"/>
          <w:szCs w:val="36"/>
          <w:lang w:eastAsia="zh-CN"/>
        </w:rPr>
        <w:t>告知书</w:t>
      </w: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11641050"/>
      <w:bookmarkStart w:id="2" w:name="_Toc12789052"/>
      <w:bookmarkStart w:id="3" w:name="_Toc25875"/>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val="en-US" w:eastAsia="zh-CN"/>
        </w:rPr>
        <w:t>电视机维修服务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7775175"/>
      <w:bookmarkStart w:id="8" w:name="_Toc313893526"/>
      <w:bookmarkStart w:id="9" w:name="_Toc28443"/>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370" w:type="dxa"/>
        <w:tblInd w:w="-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9"/>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689"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89" w:type="dxa"/>
            <w:vAlign w:val="center"/>
          </w:tcPr>
          <w:p>
            <w:pPr>
              <w:spacing w:line="400" w:lineRule="exact"/>
              <w:rPr>
                <w:rFonts w:hint="default" w:ascii="方正仿宋_GBK" w:hAnsi="宋体" w:eastAsia="方正仿宋_GBK"/>
                <w:color w:val="auto"/>
                <w:sz w:val="24"/>
                <w:szCs w:val="24"/>
                <w:lang w:val="en-US"/>
              </w:rPr>
            </w:pPr>
            <w:r>
              <w:rPr>
                <w:rFonts w:hint="eastAsia" w:ascii="方正仿宋_GBK" w:hAnsi="宋体" w:eastAsia="方正仿宋_GBK" w:cs="Times New Roman"/>
                <w:color w:val="auto"/>
                <w:sz w:val="24"/>
                <w:szCs w:val="24"/>
                <w:lang w:val="en-US" w:eastAsia="zh-CN"/>
              </w:rPr>
              <w:t>电视机维修服务</w:t>
            </w:r>
          </w:p>
        </w:tc>
        <w:tc>
          <w:tcPr>
            <w:tcW w:w="2661"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70" w:type="dxa"/>
            <w:gridSpan w:val="3"/>
            <w:vAlign w:val="center"/>
          </w:tcPr>
          <w:p>
            <w:pPr>
              <w:spacing w:line="400" w:lineRule="exact"/>
              <w:ind w:firstLine="480" w:firstLineChars="200"/>
              <w:rPr>
                <w:rFonts w:hint="default" w:ascii="方正仿宋_GBK" w:hAnsi="宋体" w:eastAsia="方正仿宋_GBK"/>
                <w:color w:val="auto"/>
                <w:sz w:val="24"/>
                <w:szCs w:val="24"/>
                <w:lang w:val="en-US" w:eastAsia="zh-CN"/>
              </w:rPr>
            </w:pPr>
            <w:bookmarkStart w:id="10" w:name="_Toc6609"/>
            <w:bookmarkStart w:id="11" w:name="_Toc485108768"/>
            <w:r>
              <w:rPr>
                <w:rFonts w:hint="eastAsia" w:ascii="方正仿宋_GBK" w:hAnsi="宋体" w:eastAsia="方正仿宋_GBK"/>
                <w:color w:val="auto"/>
                <w:sz w:val="24"/>
                <w:szCs w:val="24"/>
                <w:lang w:val="en-US" w:eastAsia="zh-CN"/>
              </w:rPr>
              <w:t>服务期限：三年</w:t>
            </w:r>
          </w:p>
        </w:tc>
      </w:tr>
    </w:tbl>
    <w:p>
      <w:pPr>
        <w:keepNext/>
        <w:keepLines/>
        <w:outlineLvl w:val="2"/>
        <w:rPr>
          <w:rFonts w:ascii="方正仿宋_GBK" w:hAnsi="Times New Roman" w:eastAsia="方正仿宋_GBK" w:cs="Times New Roman"/>
          <w:b/>
          <w:color w:val="auto"/>
          <w:sz w:val="24"/>
          <w:szCs w:val="24"/>
        </w:rPr>
      </w:pPr>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有效的三证合一营业执照（复印件加盖公章）。服务方需在永川区域内具有服务点。</w:t>
      </w:r>
    </w:p>
    <w:bookmarkEnd w:id="4"/>
    <w:bookmarkEnd w:id="5"/>
    <w:p>
      <w:pPr>
        <w:pStyle w:val="3"/>
        <w:spacing w:line="240" w:lineRule="auto"/>
        <w:rPr>
          <w:color w:val="auto"/>
          <w:sz w:val="24"/>
          <w:szCs w:val="24"/>
        </w:rPr>
      </w:pPr>
      <w:bookmarkStart w:id="16" w:name="_Toc11958"/>
      <w:bookmarkStart w:id="17" w:name="_Toc6"/>
      <w:bookmarkStart w:id="18" w:name="_Toc485108774"/>
      <w:bookmarkStart w:id="19" w:name="_Toc102227313"/>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日）起三个工作日。</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（三）报名方式</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凡有意参加的供应商，请于202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0时至202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29</w:t>
      </w:r>
      <w:r>
        <w:rPr>
          <w:rFonts w:hint="eastAsia" w:ascii="方正仿宋_GBK" w:hAnsi="宋体" w:eastAsia="方正仿宋_GBK" w:cs="Times New Roman"/>
          <w:color w:val="auto"/>
          <w:sz w:val="24"/>
          <w:szCs w:val="24"/>
        </w:rPr>
        <w:t>日1</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线上报名方式：</w:t>
      </w:r>
      <w:r>
        <w:rPr>
          <w:color w:val="auto"/>
        </w:rPr>
        <w:fldChar w:fldCharType="begin"/>
      </w:r>
      <w:r>
        <w:rPr>
          <w:color w:val="auto"/>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auto"/>
        </w:rPr>
        <w:fldChar w:fldCharType="separate"/>
      </w:r>
      <w:r>
        <w:rPr>
          <w:rFonts w:hint="eastAsia" w:ascii="方正仿宋_GBK" w:hAnsi="宋体" w:eastAsia="方正仿宋_GBK" w:cs="Times New Roman"/>
          <w:color w:val="auto"/>
          <w:sz w:val="24"/>
          <w:szCs w:val="24"/>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color w:val="auto"/>
          <w:sz w:val="24"/>
          <w:szCs w:val="24"/>
        </w:rPr>
        <w:fldChar w:fldCharType="end"/>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left="10" w:leftChars="5"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2、按时</w:t>
      </w:r>
      <w:r>
        <w:rPr>
          <w:rFonts w:hint="eastAsia" w:ascii="方正仿宋_GBK" w:hAnsi="宋体" w:eastAsia="方正仿宋_GBK"/>
          <w:color w:val="auto"/>
          <w:sz w:val="24"/>
          <w:szCs w:val="24"/>
        </w:rPr>
        <w:t>线上报名</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（六）响应文件递交开始时间：20</w:t>
      </w:r>
      <w:r>
        <w:rPr>
          <w:rFonts w:hint="eastAsia" w:ascii="方正仿宋_GBK" w:hAnsi="宋体" w:eastAsia="方正仿宋_GBK" w:cs="Times New Roman"/>
          <w:color w:val="auto"/>
          <w:sz w:val="24"/>
          <w:szCs w:val="24"/>
          <w:lang w:val="en-US" w:eastAsia="zh-CN"/>
        </w:rPr>
        <w:t>22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30</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30</w:t>
      </w:r>
      <w:r>
        <w:rPr>
          <w:rFonts w:hint="eastAsia" w:ascii="方正仿宋_GBK" w:hAnsi="宋体" w:eastAsia="方正仿宋_GBK" w:cs="Times New Roman"/>
          <w:color w:val="auto"/>
          <w:sz w:val="24"/>
          <w:szCs w:val="24"/>
        </w:rPr>
        <w:t>日北京时间</w:t>
      </w:r>
      <w:bookmarkEnd w:id="20"/>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30</w:t>
      </w:r>
      <w:bookmarkStart w:id="179" w:name="_GoBack"/>
      <w:bookmarkEnd w:id="179"/>
      <w:r>
        <w:rPr>
          <w:rFonts w:hint="eastAsia" w:ascii="方正仿宋_GBK" w:hAnsi="宋体" w:eastAsia="方正仿宋_GBK" w:cs="Times New Roman"/>
          <w:color w:val="auto"/>
          <w:sz w:val="24"/>
          <w:szCs w:val="24"/>
        </w:rPr>
        <w:t>日北京时间</w:t>
      </w:r>
      <w:bookmarkEnd w:id="21"/>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pStyle w:val="3"/>
        <w:bidi w:val="0"/>
        <w:rPr>
          <w:rFonts w:hint="eastAsia" w:ascii="微软雅黑" w:hAnsi="微软雅黑" w:eastAsia="微软雅黑" w:cs="微软雅黑"/>
          <w:color w:val="auto"/>
          <w:sz w:val="24"/>
          <w:szCs w:val="24"/>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2806"/>
      <w:bookmarkStart w:id="27" w:name="_Toc1625"/>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6605950"/>
      <w:bookmarkStart w:id="29" w:name="_Toc2183"/>
      <w:r>
        <w:rPr>
          <w:rFonts w:hint="eastAsia" w:ascii="微软雅黑" w:hAnsi="微软雅黑" w:eastAsia="微软雅黑" w:cs="微软雅黑"/>
          <w:color w:val="auto"/>
          <w:sz w:val="24"/>
          <w:szCs w:val="24"/>
        </w:rPr>
        <w:t>七、防疫要求</w:t>
      </w:r>
      <w:bookmarkEnd w:id="28"/>
      <w:bookmarkEnd w:id="29"/>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hint="eastAsia" w:ascii="微软雅黑" w:hAnsi="微软雅黑" w:eastAsia="微软雅黑" w:cs="微软雅黑"/>
          <w:color w:val="auto"/>
          <w:sz w:val="24"/>
          <w:szCs w:val="24"/>
        </w:rPr>
      </w:pPr>
      <w:bookmarkStart w:id="31" w:name="_Toc9130"/>
      <w:r>
        <w:rPr>
          <w:rFonts w:hint="eastAsia" w:ascii="微软雅黑" w:hAnsi="微软雅黑" w:eastAsia="微软雅黑" w:cs="微软雅黑"/>
          <w:color w:val="auto"/>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color w:val="auto"/>
          <w:sz w:val="24"/>
          <w:szCs w:val="24"/>
        </w:rPr>
      </w:pPr>
      <w:bookmarkStart w:id="32"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2"/>
    <w:p>
      <w:pPr>
        <w:pStyle w:val="2"/>
        <w:jc w:val="center"/>
        <w:rPr>
          <w:rFonts w:hint="eastAsia"/>
          <w:b/>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bidi w:val="0"/>
        <w:jc w:val="center"/>
        <w:rPr>
          <w:rFonts w:hint="eastAsia"/>
          <w:b/>
          <w:color w:val="auto"/>
        </w:rPr>
      </w:pPr>
      <w:bookmarkStart w:id="33" w:name="_Toc22321"/>
      <w:r>
        <w:rPr>
          <w:rFonts w:hint="eastAsia" w:ascii="微软雅黑" w:hAnsi="微软雅黑" w:eastAsia="微软雅黑" w:cs="微软雅黑"/>
          <w:b/>
          <w:bCs/>
          <w:color w:val="auto"/>
          <w:sz w:val="36"/>
          <w:szCs w:val="36"/>
        </w:rPr>
        <w:t>第二篇 供应商须知</w:t>
      </w:r>
      <w:bookmarkEnd w:id="33"/>
    </w:p>
    <w:p>
      <w:pPr>
        <w:pStyle w:val="3"/>
        <w:bidi w:val="0"/>
        <w:rPr>
          <w:rFonts w:hint="eastAsia" w:ascii="微软雅黑" w:hAnsi="微软雅黑" w:eastAsia="微软雅黑" w:cs="微软雅黑"/>
          <w:color w:val="auto"/>
          <w:sz w:val="24"/>
          <w:szCs w:val="24"/>
        </w:rPr>
      </w:pPr>
      <w:bookmarkStart w:id="34" w:name="_Toc11386"/>
      <w:r>
        <w:rPr>
          <w:rFonts w:hint="eastAsia" w:ascii="微软雅黑" w:hAnsi="微软雅黑" w:eastAsia="微软雅黑" w:cs="微软雅黑"/>
          <w:color w:val="auto"/>
          <w:sz w:val="24"/>
          <w:szCs w:val="24"/>
        </w:rPr>
        <w:t>一、比选费用</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5" w:name="_Toc8430"/>
      <w:r>
        <w:rPr>
          <w:rFonts w:hint="eastAsia" w:ascii="微软雅黑" w:hAnsi="微软雅黑" w:eastAsia="微软雅黑" w:cs="微软雅黑"/>
          <w:color w:val="auto"/>
          <w:sz w:val="24"/>
          <w:szCs w:val="24"/>
        </w:rPr>
        <w:t>二、比选文件</w:t>
      </w:r>
      <w:bookmarkEnd w:id="35"/>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6" w:name="_Toc23254"/>
      <w:r>
        <w:rPr>
          <w:rFonts w:hint="eastAsia" w:ascii="微软雅黑" w:hAnsi="微软雅黑" w:eastAsia="微软雅黑" w:cs="微软雅黑"/>
          <w:color w:val="auto"/>
          <w:sz w:val="24"/>
          <w:szCs w:val="24"/>
        </w:rPr>
        <w:t>三、比选要求</w:t>
      </w:r>
      <w:bookmarkEnd w:id="36"/>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响应单位按照报价表进行报价，详见附件。各项报价均应包含人工费、材料费、保险费、税费等各项费用。</w:t>
      </w:r>
      <w:r>
        <w:rPr>
          <w:rFonts w:hint="eastAsia" w:ascii="方正仿宋_GBK" w:hAnsi="宋体" w:eastAsia="方正仿宋_GBK" w:cs="Times New Roman"/>
          <w:color w:val="auto"/>
          <w:sz w:val="24"/>
          <w:szCs w:val="24"/>
        </w:rPr>
        <w:t>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4"/>
        </w:rPr>
        <w:t xml:space="preserve"> </w:t>
      </w:r>
      <w:r>
        <w:rPr>
          <w:rFonts w:hint="eastAsia" w:ascii="方正仿宋_GBK" w:hAnsi="宋体" w:eastAsia="方正仿宋_GBK" w:cs="Times New Roman"/>
          <w:color w:val="auto"/>
          <w:sz w:val="24"/>
          <w:szCs w:val="24"/>
        </w:rPr>
        <w:t>邮寄</w:t>
      </w:r>
      <w:r>
        <w:rPr>
          <w:rFonts w:hint="eastAsia" w:ascii="仿宋" w:hAnsi="仿宋" w:eastAsia="仿宋" w:cs="仿宋"/>
          <w:color w:val="auto"/>
          <w:sz w:val="24"/>
          <w:szCs w:val="24"/>
        </w:rPr>
        <w:t>、</w:t>
      </w:r>
      <w:r>
        <w:rPr>
          <w:rFonts w:hint="eastAsia" w:ascii="方正仿宋_GBK" w:hAnsi="宋体" w:eastAsia="方正仿宋_GBK" w:cs="Times New Roman"/>
          <w:color w:val="auto"/>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7" w:name="OLE_LINK3"/>
      <w:bookmarkStart w:id="38" w:name="OLE_LINK8"/>
      <w:bookmarkStart w:id="39" w:name="OLE_LINK9"/>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4、供应商的报价超过采购</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总价限价或单价限价；</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5、供应商的最后报价超过采购预算；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9、同一合同项下的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hint="eastAsia" w:ascii="微软雅黑" w:hAnsi="微软雅黑" w:eastAsia="微软雅黑" w:cs="微软雅黑"/>
          <w:color w:val="auto"/>
          <w:sz w:val="24"/>
          <w:szCs w:val="24"/>
        </w:rPr>
      </w:pPr>
      <w:bookmarkStart w:id="40" w:name="_Toc19143"/>
      <w:bookmarkStart w:id="41" w:name="_Toc102227319"/>
      <w:bookmarkStart w:id="42" w:name="_Toc342913393"/>
      <w:bookmarkStart w:id="43" w:name="_Toc179714298"/>
      <w:bookmarkStart w:id="44" w:name="_Toc403569780"/>
      <w:bookmarkStart w:id="45" w:name="_Toc18122"/>
      <w:r>
        <w:rPr>
          <w:rFonts w:hint="eastAsia" w:ascii="微软雅黑" w:hAnsi="微软雅黑" w:eastAsia="微软雅黑" w:cs="微软雅黑"/>
          <w:color w:val="auto"/>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6" w:name="_Toc14247"/>
      <w:bookmarkStart w:id="47" w:name="_Toc403569781"/>
      <w:bookmarkStart w:id="48" w:name="_Toc28776"/>
      <w:bookmarkStart w:id="49" w:name="_Toc102227320"/>
      <w:bookmarkStart w:id="50" w:name="_Toc342913394"/>
      <w:r>
        <w:rPr>
          <w:rFonts w:hint="eastAsia" w:ascii="微软雅黑" w:hAnsi="微软雅黑" w:eastAsia="微软雅黑" w:cs="微软雅黑"/>
          <w:color w:val="auto"/>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51" w:name="_Toc403569782"/>
      <w:bookmarkStart w:id="52" w:name="_Toc29340"/>
      <w:bookmarkStart w:id="53" w:name="_Toc14816"/>
      <w:r>
        <w:rPr>
          <w:rFonts w:hint="eastAsia" w:ascii="微软雅黑" w:hAnsi="微软雅黑" w:eastAsia="微软雅黑" w:cs="微软雅黑"/>
          <w:color w:val="auto"/>
          <w:sz w:val="24"/>
          <w:szCs w:val="24"/>
        </w:rPr>
        <w:t>六、成交</w:t>
      </w:r>
      <w:bookmarkEnd w:id="49"/>
      <w:r>
        <w:rPr>
          <w:rFonts w:hint="eastAsia" w:ascii="微软雅黑" w:hAnsi="微软雅黑" w:eastAsia="微软雅黑" w:cs="微软雅黑"/>
          <w:color w:val="auto"/>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54" w:name="_Toc342913395"/>
      <w:bookmarkStart w:id="55" w:name="_Toc403569783"/>
      <w:bookmarkStart w:id="56" w:name="_Toc3212"/>
      <w:bookmarkStart w:id="57" w:name="_Toc7135"/>
      <w:bookmarkStart w:id="58" w:name="_Toc102227321"/>
      <w:r>
        <w:rPr>
          <w:rFonts w:hint="eastAsia" w:ascii="微软雅黑" w:hAnsi="微软雅黑" w:eastAsia="微软雅黑" w:cs="微软雅黑"/>
          <w:color w:val="auto"/>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9" w:name="_Toc12880"/>
      <w:bookmarkStart w:id="60" w:name="_Toc403569784"/>
      <w:bookmarkStart w:id="61" w:name="_Toc17413"/>
      <w:r>
        <w:rPr>
          <w:rFonts w:hint="eastAsia" w:ascii="微软雅黑" w:hAnsi="微软雅黑" w:eastAsia="微软雅黑" w:cs="微软雅黑"/>
          <w:color w:val="auto"/>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2" w:name="_Toc102227322"/>
      <w:bookmarkStart w:id="63" w:name="_Toc403569785"/>
      <w:bookmarkStart w:id="64" w:name="_Toc342913396"/>
      <w:bookmarkStart w:id="65" w:name="_Toc6381"/>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6" w:name="_Toc5728"/>
      <w:r>
        <w:rPr>
          <w:rFonts w:hint="eastAsia" w:ascii="微软雅黑" w:hAnsi="微软雅黑" w:eastAsia="微软雅黑" w:cs="微软雅黑"/>
          <w:color w:val="auto"/>
          <w:sz w:val="24"/>
          <w:szCs w:val="24"/>
        </w:rPr>
        <w:t>九、签订</w:t>
      </w:r>
      <w:bookmarkEnd w:id="62"/>
      <w:r>
        <w:rPr>
          <w:rFonts w:hint="eastAsia" w:ascii="微软雅黑" w:hAnsi="微软雅黑" w:eastAsia="微软雅黑" w:cs="微软雅黑"/>
          <w:color w:val="auto"/>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7" w:name="_Toc29479"/>
      <w:bookmarkStart w:id="68" w:name="_Toc7675"/>
      <w:bookmarkStart w:id="69" w:name="_Toc15659"/>
      <w:r>
        <w:rPr>
          <w:rFonts w:hint="eastAsia" w:ascii="微软雅黑" w:hAnsi="微软雅黑" w:eastAsia="微软雅黑" w:cs="微软雅黑"/>
          <w:color w:val="auto"/>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spacing w:line="390" w:lineRule="exact"/>
        <w:rPr>
          <w:rFonts w:ascii="方正仿宋_GBK" w:hAnsi="宋体" w:eastAsia="方正仿宋_GBK" w:cs="Times New Roman"/>
          <w:b/>
          <w:color w:val="auto"/>
          <w:sz w:val="24"/>
          <w:szCs w:val="24"/>
        </w:rPr>
      </w:pPr>
    </w:p>
    <w:p>
      <w:pPr>
        <w:pStyle w:val="2"/>
        <w:jc w:val="center"/>
        <w:rPr>
          <w:b/>
          <w:color w:val="auto"/>
          <w:sz w:val="44"/>
          <w:szCs w:val="44"/>
        </w:rPr>
      </w:pPr>
      <w:bookmarkStart w:id="70" w:name="_Toc485108784"/>
      <w:bookmarkStart w:id="71" w:name="_Toc11770"/>
      <w:r>
        <w:rPr>
          <w:rFonts w:hint="eastAsia" w:ascii="微软雅黑" w:hAnsi="微软雅黑" w:eastAsia="微软雅黑" w:cs="微软雅黑"/>
          <w:b/>
          <w:color w:val="auto"/>
          <w:sz w:val="36"/>
          <w:szCs w:val="36"/>
        </w:rPr>
        <w:t>第三篇  项目服务需求</w:t>
      </w:r>
      <w:bookmarkEnd w:id="70"/>
      <w:bookmarkEnd w:id="71"/>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2" w:name="_Toc485108785"/>
      <w:bookmarkStart w:id="73" w:name="_Toc766"/>
      <w:bookmarkStart w:id="74" w:name="_Toc12789058"/>
      <w:r>
        <w:rPr>
          <w:rFonts w:hint="eastAsia" w:ascii="微软雅黑" w:hAnsi="微软雅黑" w:eastAsia="微软雅黑" w:cs="微软雅黑"/>
          <w:color w:val="auto"/>
          <w:sz w:val="24"/>
          <w:szCs w:val="24"/>
        </w:rPr>
        <w:t>一、</w:t>
      </w:r>
      <w:bookmarkEnd w:id="72"/>
      <w:r>
        <w:rPr>
          <w:rFonts w:hint="eastAsia" w:ascii="微软雅黑" w:hAnsi="微软雅黑" w:eastAsia="微软雅黑" w:cs="微软雅黑"/>
          <w:color w:val="auto"/>
          <w:sz w:val="24"/>
          <w:szCs w:val="24"/>
        </w:rPr>
        <w:t>项目一览表</w:t>
      </w:r>
      <w:bookmarkEnd w:id="73"/>
    </w:p>
    <w:tbl>
      <w:tblPr>
        <w:tblStyle w:val="58"/>
        <w:tblW w:w="8305" w:type="dxa"/>
        <w:tblInd w:w="534" w:type="dxa"/>
        <w:tblLayout w:type="fixed"/>
        <w:tblCellMar>
          <w:top w:w="0" w:type="dxa"/>
          <w:left w:w="108" w:type="dxa"/>
          <w:bottom w:w="0" w:type="dxa"/>
          <w:right w:w="108" w:type="dxa"/>
        </w:tblCellMar>
      </w:tblPr>
      <w:tblGrid>
        <w:gridCol w:w="3265"/>
        <w:gridCol w:w="3360"/>
        <w:gridCol w:w="1680"/>
      </w:tblGrid>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维修项目</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宋体" w:eastAsia="方正仿宋_GBK"/>
                <w:color w:val="auto"/>
                <w:szCs w:val="21"/>
                <w:lang w:val="en-US" w:eastAsia="zh-CN"/>
              </w:rPr>
              <w:t>电视机维修服务</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宋体" w:eastAsia="方正仿宋_GBK"/>
                <w:color w:val="auto"/>
                <w:szCs w:val="21"/>
                <w:lang w:val="en-US" w:eastAsia="zh-CN"/>
              </w:rPr>
            </w:pPr>
            <w:r>
              <w:rPr>
                <w:rFonts w:hint="eastAsia" w:ascii="方正仿宋_GBK" w:hAnsi="宋体" w:eastAsia="方正仿宋_GBK"/>
                <w:color w:val="auto"/>
                <w:szCs w:val="21"/>
                <w:lang w:val="en-US" w:eastAsia="zh-CN"/>
              </w:rPr>
              <w:t>见附件</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p>
        </w:tc>
      </w:tr>
    </w:tbl>
    <w:p>
      <w:pPr>
        <w:pStyle w:val="3"/>
        <w:spacing w:line="240" w:lineRule="auto"/>
        <w:rPr>
          <w:rFonts w:hint="eastAsia" w:ascii="微软雅黑" w:hAnsi="微软雅黑" w:eastAsia="微软雅黑" w:cs="微软雅黑"/>
          <w:color w:val="auto"/>
          <w:sz w:val="24"/>
          <w:szCs w:val="24"/>
        </w:rPr>
      </w:pPr>
      <w:bookmarkStart w:id="75" w:name="_Toc18590"/>
      <w:bookmarkStart w:id="76" w:name="_Toc485108786"/>
      <w:r>
        <w:rPr>
          <w:rFonts w:hint="eastAsia" w:ascii="微软雅黑" w:hAnsi="微软雅黑" w:eastAsia="微软雅黑" w:cs="微软雅黑"/>
          <w:color w:val="auto"/>
          <w:sz w:val="24"/>
          <w:szCs w:val="24"/>
        </w:rPr>
        <w:t>二、服务要求</w:t>
      </w:r>
      <w:bookmarkEnd w:id="75"/>
      <w:bookmarkEnd w:id="76"/>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1、服务方在接到采购方维修通知后，应在1小时内安排专业维修人员上门服务，能在短时间完成故障设备的检修，并确保设备的维修质量。如属厂家质保期内产品，应立即告知采购方联系厂家免费维修。</w:t>
      </w:r>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2、服务方须指派具备资质的专业人员开展相关工作，各项工作须严格按照相关操作规程开展，做好各项维修记录。</w:t>
      </w:r>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3、在维修过程中，维修人员应采取有效的安全措施，保证施工人员和其他人员的人身安全，并承担因安全事故导致的一切经济和法律责任。如有损坏财产须照价赔偿。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b/>
          <w:color w:val="auto"/>
          <w:sz w:val="44"/>
          <w:szCs w:val="44"/>
        </w:rPr>
      </w:pPr>
      <w:bookmarkStart w:id="77" w:name="_Toc28327"/>
      <w:bookmarkStart w:id="78" w:name="_Toc485108787"/>
      <w:r>
        <w:rPr>
          <w:rFonts w:hint="eastAsia" w:ascii="微软雅黑" w:hAnsi="微软雅黑" w:eastAsia="微软雅黑" w:cs="微软雅黑"/>
          <w:b/>
          <w:color w:val="auto"/>
          <w:sz w:val="36"/>
          <w:szCs w:val="36"/>
        </w:rPr>
        <w:t>第四篇  项目商务需求</w:t>
      </w:r>
      <w:bookmarkEnd w:id="74"/>
      <w:bookmarkEnd w:id="77"/>
      <w:bookmarkEnd w:id="78"/>
      <w:bookmarkStart w:id="79" w:name="_Toc12789059"/>
      <w:bookmarkStart w:id="80" w:name="_Toc11641055"/>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2302"/>
      <w:bookmarkStart w:id="83"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val="en-US" w:eastAsia="zh-CN"/>
        </w:rPr>
        <w:t>周期</w:t>
      </w:r>
      <w:r>
        <w:rPr>
          <w:rFonts w:hint="eastAsia" w:ascii="微软雅黑" w:hAnsi="微软雅黑" w:eastAsia="微软雅黑" w:cs="微软雅黑"/>
          <w:color w:val="auto"/>
          <w:sz w:val="24"/>
          <w:szCs w:val="24"/>
        </w:rPr>
        <w:t>、地点及验收方式</w:t>
      </w:r>
      <w:bookmarkEnd w:id="81"/>
      <w:bookmarkEnd w:id="82"/>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仿宋" w:hAnsi="仿宋" w:eastAsia="仿宋" w:cs="仿宋"/>
          <w:color w:val="auto"/>
          <w:sz w:val="24"/>
          <w:szCs w:val="24"/>
        </w:rPr>
      </w:pPr>
      <w:r>
        <w:rPr>
          <w:rFonts w:hint="eastAsia" w:ascii="方正仿宋_GBK" w:hAnsi="宋体" w:eastAsia="方正仿宋_GBK" w:cs="Times New Roman"/>
          <w:color w:val="auto"/>
          <w:sz w:val="24"/>
          <w:szCs w:val="24"/>
        </w:rPr>
        <w:t>（一）服务时间：</w:t>
      </w:r>
      <w:r>
        <w:rPr>
          <w:rFonts w:hint="eastAsia" w:ascii="方正仿宋_GBK" w:hAnsi="宋体" w:eastAsia="方正仿宋_GBK" w:cs="Times New Roman"/>
          <w:color w:val="auto"/>
          <w:sz w:val="24"/>
          <w:szCs w:val="24"/>
          <w:u w:val="single"/>
          <w:lang w:val="en-US" w:eastAsia="zh-CN"/>
        </w:rPr>
        <w:t>合同期限三年</w:t>
      </w:r>
      <w:r>
        <w:rPr>
          <w:rFonts w:hint="eastAsia" w:ascii="方正仿宋_GBK" w:hAnsi="宋体" w:eastAsia="方正仿宋_GBK" w:cs="Times New Roman"/>
          <w:color w:val="auto"/>
          <w:sz w:val="24"/>
          <w:szCs w:val="24"/>
          <w:u w:val="single"/>
        </w:rPr>
        <w:t>。</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（二）服务</w:t>
      </w:r>
      <w:r>
        <w:rPr>
          <w:rFonts w:hint="eastAsia" w:ascii="方正仿宋_GBK" w:hAnsi="宋体" w:eastAsia="方正仿宋_GBK" w:cs="Times New Roman"/>
          <w:color w:val="auto"/>
          <w:sz w:val="24"/>
          <w:szCs w:val="24"/>
          <w:lang w:eastAsia="zh-CN"/>
        </w:rPr>
        <w:t xml:space="preserve">地点：重庆医科大学附属永川医院（重庆市永川区萱花路439号） </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（三</w:t>
      </w:r>
      <w:bookmarkEnd w:id="83"/>
      <w:bookmarkStart w:id="84" w:name="_Toc279"/>
      <w:bookmarkStart w:id="85" w:name="_Toc485108789"/>
      <w:bookmarkStart w:id="86" w:name="_Toc485108790"/>
      <w:bookmarkStart w:id="87" w:name="_Toc344475122"/>
      <w:r>
        <w:rPr>
          <w:rFonts w:hint="eastAsia" w:ascii="方正仿宋_GBK" w:hAnsi="宋体" w:eastAsia="方正仿宋_GBK" w:cs="Times New Roman"/>
          <w:color w:val="auto"/>
          <w:sz w:val="24"/>
          <w:szCs w:val="24"/>
          <w:lang w:val="en-US" w:eastAsia="zh-CN"/>
        </w:rPr>
        <w:t>）验收方式：</w:t>
      </w:r>
      <w:r>
        <w:rPr>
          <w:rFonts w:hint="eastAsia" w:ascii="方正仿宋_GBK" w:hAnsi="宋体" w:eastAsia="方正仿宋_GBK" w:cs="Times New Roman"/>
          <w:color w:val="auto"/>
          <w:sz w:val="24"/>
          <w:szCs w:val="24"/>
          <w:lang w:eastAsia="zh-CN"/>
        </w:rPr>
        <w:t>服务方每次服务时详细记录内容，采购方使用科室进行工时和材料确认，</w:t>
      </w:r>
      <w:r>
        <w:rPr>
          <w:rFonts w:hint="eastAsia" w:ascii="方正仿宋_GBK" w:hAnsi="宋体" w:eastAsia="方正仿宋_GBK" w:cs="Times New Roman"/>
          <w:color w:val="auto"/>
          <w:sz w:val="24"/>
          <w:szCs w:val="24"/>
          <w:lang w:val="en-US" w:eastAsia="zh-CN"/>
        </w:rPr>
        <w:t>维修完成后双方人员签字确认。</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二、质量保证及售后服务</w:t>
      </w:r>
      <w:bookmarkEnd w:id="84"/>
      <w:bookmarkEnd w:id="85"/>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（一）质量要求：服务方维修中更换的设备零配件须为正规厂家生产的全新合格产品，产品质量须符合国家相关的产品质量标准，不得弄虚作假、以次充好，严禁使用仿冒及伪劣产品。</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质量保证期：服务方维修中更换的设备零配件</w:t>
      </w:r>
      <w:r>
        <w:rPr>
          <w:rFonts w:hint="eastAsia" w:ascii="方正仿宋_GBK" w:hAnsi="宋体" w:eastAsia="方正仿宋_GBK" w:cs="Times New Roman"/>
          <w:color w:val="auto"/>
          <w:sz w:val="24"/>
          <w:szCs w:val="24"/>
          <w:lang w:val="en-US" w:eastAsia="zh-CN"/>
        </w:rPr>
        <w:t>质保期不得低于行业标准</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三</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售后服务：</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w:t>
      </w:r>
      <w:r>
        <w:rPr>
          <w:rFonts w:hint="eastAsia" w:ascii="方正仿宋_GBK" w:hAnsi="宋体" w:eastAsia="方正仿宋_GBK" w:cs="Times New Roman"/>
          <w:color w:val="auto"/>
          <w:sz w:val="24"/>
          <w:szCs w:val="24"/>
          <w:lang w:val="en-US" w:eastAsia="zh-CN"/>
        </w:rPr>
        <w:t>零配件应</w:t>
      </w:r>
      <w:r>
        <w:rPr>
          <w:rFonts w:hint="eastAsia" w:ascii="方正仿宋_GBK" w:hAnsi="宋体" w:eastAsia="方正仿宋_GBK" w:cs="Times New Roman"/>
          <w:color w:val="auto"/>
          <w:sz w:val="24"/>
          <w:szCs w:val="24"/>
        </w:rPr>
        <w:t>免费维修、更换。服务方提供有效的维修联系人和电话，如有变更，应及时通知采购方。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bookmarkStart w:id="88" w:name="_Toc15905"/>
      <w:r>
        <w:rPr>
          <w:rFonts w:hint="eastAsia" w:ascii="微软雅黑" w:hAnsi="微软雅黑" w:eastAsia="微软雅黑" w:cs="微软雅黑"/>
          <w:color w:val="auto"/>
          <w:sz w:val="24"/>
          <w:szCs w:val="24"/>
        </w:rPr>
        <w:t>三、付款方式</w:t>
      </w:r>
      <w:bookmarkEnd w:id="86"/>
      <w:bookmarkEnd w:id="87"/>
      <w:bookmarkEnd w:id="88"/>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服务方每次服务时详细记录内容，采购方使用科室进行工时和材料确认，服务方应在每月5日前将上月的维修结算清单、足额合法发票提交采购方（遇到法定节假日时，延长至工作日上班第一天），采购方核对确认后60日内支付费用。</w:t>
      </w:r>
    </w:p>
    <w:p>
      <w:pPr>
        <w:pStyle w:val="3"/>
        <w:spacing w:line="240" w:lineRule="auto"/>
        <w:rPr>
          <w:rFonts w:hint="eastAsia" w:ascii="微软雅黑" w:hAnsi="微软雅黑" w:eastAsia="微软雅黑" w:cs="微软雅黑"/>
          <w:color w:val="auto"/>
          <w:sz w:val="24"/>
          <w:szCs w:val="24"/>
        </w:rPr>
      </w:pPr>
      <w:bookmarkStart w:id="89" w:name="_Toc485108793"/>
      <w:bookmarkStart w:id="90" w:name="_Toc403569795"/>
      <w:bookmarkStart w:id="91" w:name="_Toc7358"/>
      <w:r>
        <w:rPr>
          <w:rFonts w:hint="eastAsia" w:ascii="微软雅黑" w:hAnsi="微软雅黑" w:eastAsia="微软雅黑" w:cs="微软雅黑"/>
          <w:color w:val="auto"/>
          <w:sz w:val="24"/>
          <w:szCs w:val="24"/>
          <w:lang w:val="en-US" w:eastAsia="zh-CN"/>
        </w:rPr>
        <w:t>四</w:t>
      </w:r>
      <w:r>
        <w:rPr>
          <w:rFonts w:hint="eastAsia" w:ascii="微软雅黑" w:hAnsi="微软雅黑" w:eastAsia="微软雅黑" w:cs="微软雅黑"/>
          <w:color w:val="auto"/>
          <w:sz w:val="24"/>
          <w:szCs w:val="24"/>
        </w:rPr>
        <w:t>、其他</w:t>
      </w:r>
      <w:bookmarkEnd w:id="89"/>
      <w:bookmarkEnd w:id="90"/>
      <w:bookmarkEnd w:id="9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color w:val="auto"/>
          <w:sz w:val="24"/>
          <w:szCs w:val="24"/>
        </w:rPr>
      </w:pPr>
    </w:p>
    <w:p>
      <w:pPr>
        <w:pStyle w:val="2"/>
        <w:jc w:val="center"/>
        <w:rPr>
          <w:color w:val="auto"/>
          <w:sz w:val="44"/>
          <w:szCs w:val="44"/>
        </w:rPr>
      </w:pPr>
      <w:r>
        <w:rPr>
          <w:rFonts w:eastAsia="黑体"/>
          <w:b/>
          <w:color w:val="auto"/>
        </w:rPr>
        <w:br w:type="page"/>
      </w:r>
      <w:bookmarkEnd w:id="79"/>
      <w:bookmarkEnd w:id="80"/>
      <w:bookmarkStart w:id="92" w:name="_Toc485108794"/>
      <w:bookmarkStart w:id="93" w:name="_Toc403569796"/>
      <w:bookmarkStart w:id="94" w:name="_Toc14840"/>
      <w:bookmarkStart w:id="95" w:name="_Toc148265480"/>
      <w:bookmarkStart w:id="96" w:name="_Toc303945820"/>
      <w:r>
        <w:rPr>
          <w:rFonts w:hint="eastAsia" w:ascii="微软雅黑" w:hAnsi="微软雅黑" w:eastAsia="微软雅黑" w:cs="微软雅黑"/>
          <w:b/>
          <w:color w:val="auto"/>
          <w:sz w:val="36"/>
          <w:szCs w:val="36"/>
        </w:rPr>
        <w:t>第五篇  合同草案条款</w:t>
      </w:r>
      <w:bookmarkEnd w:id="92"/>
      <w:bookmarkEnd w:id="93"/>
      <w:bookmarkEnd w:id="94"/>
    </w:p>
    <w:p>
      <w:pPr>
        <w:pStyle w:val="3"/>
        <w:spacing w:line="240" w:lineRule="auto"/>
        <w:rPr>
          <w:rFonts w:hint="eastAsia" w:ascii="微软雅黑" w:hAnsi="微软雅黑" w:eastAsia="微软雅黑" w:cs="微软雅黑"/>
          <w:color w:val="auto"/>
          <w:sz w:val="24"/>
          <w:szCs w:val="24"/>
        </w:rPr>
      </w:pPr>
      <w:bookmarkStart w:id="97" w:name="_Toc54718202"/>
      <w:bookmarkStart w:id="98" w:name="_Toc30815"/>
      <w:r>
        <w:rPr>
          <w:rFonts w:hint="eastAsia" w:ascii="微软雅黑" w:hAnsi="微软雅黑" w:eastAsia="微软雅黑" w:cs="微软雅黑"/>
          <w:color w:val="auto"/>
          <w:sz w:val="24"/>
          <w:szCs w:val="24"/>
        </w:rPr>
        <w:t>一、定义</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988"/>
      <w:r>
        <w:rPr>
          <w:rFonts w:hint="eastAsia" w:ascii="方正仿宋_GBK" w:hAnsi="宋体" w:eastAsia="方正仿宋_GBK" w:cs="Times New Roman"/>
          <w:color w:val="auto"/>
          <w:sz w:val="24"/>
          <w:szCs w:val="24"/>
        </w:rPr>
        <w:t>（一）甲方（需方）即重庆医科大学附属永川医院。</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3"/>
    </w:p>
    <w:p>
      <w:pPr>
        <w:pStyle w:val="3"/>
        <w:spacing w:line="240" w:lineRule="auto"/>
        <w:rPr>
          <w:rFonts w:hint="eastAsia" w:ascii="微软雅黑" w:hAnsi="微软雅黑" w:eastAsia="微软雅黑" w:cs="微软雅黑"/>
          <w:color w:val="auto"/>
          <w:sz w:val="24"/>
          <w:szCs w:val="24"/>
        </w:rPr>
      </w:pPr>
      <w:bookmarkStart w:id="104" w:name="_Toc17879"/>
      <w:bookmarkStart w:id="105"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val="en-US" w:eastAsia="zh-CN"/>
        </w:rPr>
        <w:t>合同</w:t>
      </w:r>
      <w:r>
        <w:rPr>
          <w:rFonts w:hint="eastAsia" w:ascii="微软雅黑" w:hAnsi="微软雅黑" w:eastAsia="微软雅黑" w:cs="微软雅黑"/>
          <w:color w:val="auto"/>
          <w:sz w:val="24"/>
          <w:szCs w:val="24"/>
        </w:rPr>
        <w:t>内容</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967"/>
      <w:r>
        <w:rPr>
          <w:rFonts w:hint="eastAsia" w:ascii="方正仿宋_GBK" w:hAnsi="宋体" w:eastAsia="方正仿宋_GBK" w:cs="Times New Roman"/>
          <w:color w:val="auto"/>
          <w:sz w:val="24"/>
          <w:szCs w:val="24"/>
        </w:rPr>
        <w:t>合同包括以下内容：</w:t>
      </w:r>
      <w:bookmarkEnd w:id="106"/>
      <w:r>
        <w:rPr>
          <w:rFonts w:hint="eastAsia" w:ascii="微软雅黑" w:hAnsi="微软雅黑" w:eastAsia="微软雅黑" w:cs="微软雅黑"/>
          <w:b w:val="0"/>
          <w:color w:val="auto"/>
          <w:kern w:val="2"/>
          <w:sz w:val="24"/>
          <w:szCs w:val="24"/>
          <w:lang w:val="en-US" w:eastAsia="zh-CN" w:bidi="ar-SA"/>
        </w:rPr>
        <w:t>服务内容、服务要求、</w:t>
      </w:r>
      <w:r>
        <w:rPr>
          <w:rFonts w:hint="eastAsia" w:ascii="方正仿宋_GBK" w:hAnsi="宋体" w:eastAsia="方正仿宋_GBK"/>
          <w:color w:val="auto"/>
          <w:sz w:val="24"/>
          <w:szCs w:val="24"/>
          <w:lang w:val="en-US" w:eastAsia="zh-CN"/>
        </w:rPr>
        <w:t>维修项目</w:t>
      </w:r>
      <w:r>
        <w:rPr>
          <w:rFonts w:hint="eastAsia" w:ascii="方正仿宋_GBK" w:hAnsi="宋体" w:eastAsia="方正仿宋_GBK"/>
          <w:color w:val="auto"/>
          <w:sz w:val="24"/>
          <w:szCs w:val="24"/>
        </w:rPr>
        <w:t>、型号规格、</w:t>
      </w:r>
      <w:r>
        <w:rPr>
          <w:rFonts w:hint="eastAsia" w:ascii="方正仿宋_GBK" w:hAnsi="宋体" w:eastAsia="方正仿宋_GBK"/>
          <w:color w:val="auto"/>
          <w:sz w:val="24"/>
          <w:szCs w:val="24"/>
          <w:lang w:val="en-US" w:eastAsia="zh-CN"/>
        </w:rPr>
        <w:t>品牌、价格</w:t>
      </w:r>
      <w:r>
        <w:rPr>
          <w:rFonts w:hint="eastAsia" w:ascii="方正仿宋_GBK" w:hAnsi="宋体" w:eastAsia="方正仿宋_GBK"/>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7" w:name="_Toc8853"/>
      <w:bookmarkStart w:id="108" w:name="_Toc54718204"/>
      <w:r>
        <w:rPr>
          <w:rFonts w:hint="eastAsia" w:ascii="微软雅黑" w:hAnsi="微软雅黑" w:eastAsia="微软雅黑" w:cs="微软雅黑"/>
          <w:color w:val="auto"/>
          <w:sz w:val="24"/>
          <w:szCs w:val="24"/>
        </w:rPr>
        <w:t>三、合同价格</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25177"/>
      <w:bookmarkStart w:id="11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val="en-US" w:eastAsia="zh-CN"/>
        </w:rPr>
        <w:t>维修</w:t>
      </w:r>
      <w:r>
        <w:rPr>
          <w:rFonts w:hint="eastAsia" w:ascii="方正仿宋_GBK" w:hAnsi="宋体" w:eastAsia="方正仿宋_GBK" w:cs="Times New Roman"/>
          <w:color w:val="auto"/>
          <w:sz w:val="24"/>
          <w:szCs w:val="24"/>
          <w:lang w:eastAsia="zh-CN"/>
        </w:rPr>
        <w:t>项目</w:t>
      </w:r>
      <w:r>
        <w:rPr>
          <w:rFonts w:hint="eastAsia" w:ascii="方正仿宋_GBK" w:hAnsi="宋体" w:eastAsia="方正仿宋_GBK" w:cs="Times New Roman"/>
          <w:color w:val="auto"/>
          <w:sz w:val="24"/>
          <w:szCs w:val="24"/>
          <w:lang w:val="en-US" w:eastAsia="zh-CN"/>
        </w:rPr>
        <w:t>单价</w:t>
      </w:r>
      <w:r>
        <w:rPr>
          <w:rFonts w:hint="eastAsia" w:ascii="方正仿宋_GBK" w:hAnsi="宋体" w:eastAsia="方正仿宋_GBK" w:cs="Times New Roman"/>
          <w:color w:val="auto"/>
          <w:sz w:val="24"/>
          <w:szCs w:val="24"/>
        </w:rPr>
        <w:t>。</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3890"/>
      <w:r>
        <w:rPr>
          <w:rFonts w:hint="eastAsia" w:ascii="方正仿宋_GBK" w:hAnsi="宋体" w:eastAsia="方正仿宋_GBK" w:cs="Times New Roman"/>
          <w:color w:val="auto"/>
          <w:sz w:val="24"/>
          <w:szCs w:val="24"/>
        </w:rPr>
        <w:t>（二）合同价格包含但不限于货款、安装费、调试费、人工费、税金、管理费等所有费用，所有税费由乙方负担。</w:t>
      </w:r>
      <w:bookmarkEnd w:id="111"/>
    </w:p>
    <w:p>
      <w:pPr>
        <w:pStyle w:val="3"/>
        <w:spacing w:line="240" w:lineRule="auto"/>
        <w:rPr>
          <w:rFonts w:hint="eastAsia" w:ascii="微软雅黑" w:hAnsi="微软雅黑" w:eastAsia="微软雅黑" w:cs="微软雅黑"/>
          <w:color w:val="auto"/>
          <w:sz w:val="24"/>
          <w:szCs w:val="24"/>
        </w:rPr>
      </w:pPr>
      <w:bookmarkStart w:id="112" w:name="_Toc24410"/>
      <w:r>
        <w:rPr>
          <w:rFonts w:hint="eastAsia" w:ascii="微软雅黑" w:hAnsi="微软雅黑" w:eastAsia="微软雅黑" w:cs="微软雅黑"/>
          <w:color w:val="auto"/>
          <w:sz w:val="24"/>
          <w:szCs w:val="24"/>
        </w:rPr>
        <w:t>四、转包或分包</w:t>
      </w:r>
      <w:bookmarkEnd w:id="110"/>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5"/>
    </w:p>
    <w:p>
      <w:pPr>
        <w:pStyle w:val="3"/>
        <w:spacing w:line="240" w:lineRule="auto"/>
        <w:rPr>
          <w:rFonts w:hint="eastAsia" w:ascii="微软雅黑" w:hAnsi="微软雅黑" w:eastAsia="微软雅黑" w:cs="微软雅黑"/>
          <w:color w:val="auto"/>
          <w:sz w:val="24"/>
          <w:szCs w:val="24"/>
        </w:rPr>
      </w:pPr>
      <w:bookmarkStart w:id="116" w:name="_Toc54718206"/>
      <w:bookmarkStart w:id="117" w:name="_Toc2241"/>
      <w:r>
        <w:rPr>
          <w:rFonts w:hint="eastAsia" w:ascii="微软雅黑" w:hAnsi="微软雅黑" w:eastAsia="微软雅黑" w:cs="微软雅黑"/>
          <w:color w:val="auto"/>
          <w:sz w:val="24"/>
          <w:szCs w:val="24"/>
        </w:rPr>
        <w:t>五、质量保证及售后服务</w:t>
      </w:r>
      <w:bookmarkEnd w:id="116"/>
      <w:bookmarkEnd w:id="11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8" w:name="_Toc12985"/>
      <w:bookmarkStart w:id="11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9"/>
    </w:p>
    <w:p>
      <w:pPr>
        <w:pStyle w:val="3"/>
        <w:spacing w:line="240" w:lineRule="auto"/>
        <w:rPr>
          <w:rFonts w:hint="eastAsia" w:ascii="微软雅黑" w:hAnsi="微软雅黑" w:eastAsia="微软雅黑" w:cs="微软雅黑"/>
          <w:color w:val="auto"/>
          <w:sz w:val="24"/>
          <w:szCs w:val="24"/>
        </w:rPr>
      </w:pPr>
      <w:bookmarkStart w:id="120" w:name="_Toc9053"/>
      <w:bookmarkStart w:id="121" w:name="_Toc54718207"/>
      <w:r>
        <w:rPr>
          <w:rFonts w:hint="eastAsia" w:ascii="微软雅黑" w:hAnsi="微软雅黑" w:eastAsia="微软雅黑" w:cs="微软雅黑"/>
          <w:color w:val="auto"/>
          <w:sz w:val="24"/>
          <w:szCs w:val="24"/>
        </w:rPr>
        <w:t>六、付款</w:t>
      </w:r>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3183"/>
      <w:r>
        <w:rPr>
          <w:rFonts w:hint="eastAsia" w:ascii="方正仿宋_GBK" w:hAnsi="宋体" w:eastAsia="方正仿宋_GBK" w:cs="Times New Roman"/>
          <w:color w:val="auto"/>
          <w:sz w:val="24"/>
          <w:szCs w:val="24"/>
        </w:rPr>
        <w:t>（一）本合同使用货币币制如未作特别说明均为人民币。</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8880"/>
      <w:r>
        <w:rPr>
          <w:rFonts w:hint="eastAsia" w:ascii="方正仿宋_GBK" w:hAnsi="宋体" w:eastAsia="方正仿宋_GBK" w:cs="Times New Roman"/>
          <w:color w:val="auto"/>
          <w:sz w:val="24"/>
          <w:szCs w:val="24"/>
        </w:rPr>
        <w:t>（二）付款方式：银行转账。</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4"/>
    </w:p>
    <w:p>
      <w:pPr>
        <w:pStyle w:val="3"/>
        <w:spacing w:line="240" w:lineRule="auto"/>
        <w:rPr>
          <w:rFonts w:hint="eastAsia" w:ascii="微软雅黑" w:hAnsi="微软雅黑" w:eastAsia="微软雅黑" w:cs="微软雅黑"/>
          <w:color w:val="auto"/>
          <w:sz w:val="24"/>
          <w:szCs w:val="24"/>
        </w:rPr>
      </w:pPr>
      <w:bookmarkStart w:id="125" w:name="_Toc54718211"/>
      <w:bookmarkStart w:id="12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5382"/>
      <w:r>
        <w:rPr>
          <w:rFonts w:hint="eastAsia" w:ascii="方正仿宋_GBK" w:hAnsi="宋体" w:eastAsia="方正仿宋_GBK" w:cs="Times New Roman"/>
          <w:color w:val="auto"/>
          <w:sz w:val="24"/>
          <w:szCs w:val="24"/>
        </w:rPr>
        <w:t>（一）当事人友好协商达成一致</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9926"/>
      <w:r>
        <w:rPr>
          <w:rFonts w:hint="eastAsia" w:ascii="方正仿宋_GBK" w:hAnsi="宋体" w:eastAsia="方正仿宋_GBK" w:cs="Times New Roman"/>
          <w:color w:val="auto"/>
          <w:sz w:val="24"/>
          <w:szCs w:val="24"/>
        </w:rPr>
        <w:t>（二）在60天内当事人协商不能达成协议的，可提请医院当地仲裁机构仲裁。</w:t>
      </w:r>
      <w:bookmarkEnd w:id="128"/>
    </w:p>
    <w:p>
      <w:pPr>
        <w:pStyle w:val="3"/>
        <w:spacing w:line="240" w:lineRule="auto"/>
        <w:rPr>
          <w:rFonts w:hint="eastAsia" w:ascii="微软雅黑" w:hAnsi="微软雅黑" w:eastAsia="微软雅黑" w:cs="微软雅黑"/>
          <w:color w:val="auto"/>
          <w:sz w:val="24"/>
          <w:szCs w:val="24"/>
        </w:rPr>
      </w:pPr>
      <w:bookmarkStart w:id="129" w:name="_Toc26580"/>
      <w:bookmarkStart w:id="130" w:name="_Toc54718212"/>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、违约责任</w:t>
      </w:r>
      <w:bookmarkEnd w:id="129"/>
      <w:bookmarkEnd w:id="130"/>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1"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2" w:name="_Toc1614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、合同生效及其它</w:t>
      </w:r>
      <w:bookmarkEnd w:id="131"/>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7071"/>
      <w:r>
        <w:rPr>
          <w:rFonts w:hint="eastAsia" w:ascii="方正仿宋_GBK" w:hAnsi="宋体" w:eastAsia="方正仿宋_GBK" w:cs="Times New Roman"/>
          <w:color w:val="auto"/>
          <w:sz w:val="24"/>
          <w:szCs w:val="24"/>
        </w:rPr>
        <w:t>（一）合同生效及其效力应符合《中华人民共和国民法典》有关规定。</w:t>
      </w:r>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4"/>
    </w:p>
    <w:p>
      <w:pPr>
        <w:snapToGrid w:val="0"/>
        <w:spacing w:line="400" w:lineRule="exact"/>
        <w:ind w:firstLine="480" w:firstLineChars="200"/>
        <w:jc w:val="left"/>
        <w:rPr>
          <w:rFonts w:ascii="方正仿宋_GBK" w:hAnsi="宋体" w:eastAsia="方正仿宋_GBK" w:cs="Times New Roman"/>
          <w:color w:val="auto"/>
          <w:sz w:val="24"/>
          <w:szCs w:val="24"/>
        </w:rPr>
      </w:pPr>
      <w:bookmarkStart w:id="135"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5"/>
    </w:p>
    <w:p>
      <w:pPr>
        <w:snapToGrid w:val="0"/>
        <w:spacing w:line="400" w:lineRule="exact"/>
        <w:ind w:firstLine="480" w:firstLineChars="200"/>
        <w:jc w:val="left"/>
        <w:rPr>
          <w:rFonts w:ascii="方正仿宋_GBK" w:hAnsi="宋体" w:eastAsia="方正仿宋_GBK" w:cs="Times New Roman"/>
          <w:color w:val="auto"/>
          <w:sz w:val="24"/>
          <w:szCs w:val="24"/>
        </w:rPr>
      </w:pPr>
      <w:bookmarkStart w:id="136" w:name="_Toc28233"/>
      <w:r>
        <w:rPr>
          <w:rFonts w:hint="eastAsia" w:ascii="方正仿宋_GBK" w:hAnsi="宋体" w:eastAsia="方正仿宋_GBK" w:cs="Times New Roman"/>
          <w:color w:val="auto"/>
          <w:sz w:val="24"/>
          <w:szCs w:val="24"/>
        </w:rPr>
        <w:t>（四）合同需提供担保的，按《中华人民共和国担保法》规定执行。</w:t>
      </w:r>
      <w:bookmarkEnd w:id="136"/>
    </w:p>
    <w:p>
      <w:pPr>
        <w:snapToGrid w:val="0"/>
        <w:spacing w:line="400" w:lineRule="exact"/>
        <w:ind w:firstLine="480" w:firstLineChars="200"/>
        <w:jc w:val="left"/>
        <w:rPr>
          <w:rFonts w:ascii="方正仿宋_GBK" w:hAnsi="宋体" w:eastAsia="方正仿宋_GBK" w:cs="Times New Roman"/>
          <w:color w:val="auto"/>
          <w:sz w:val="24"/>
          <w:szCs w:val="24"/>
        </w:rPr>
      </w:pPr>
      <w:bookmarkStart w:id="137"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7"/>
    </w:p>
    <w:bookmarkEnd w:id="95"/>
    <w:bookmarkEnd w:id="9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8" w:name="_Hlt41879464"/>
      <w:bookmarkEnd w:id="138"/>
      <w:bookmarkStart w:id="139" w:name="_Toc12789072"/>
      <w:bookmarkStart w:id="140" w:name="_Toc485108795"/>
      <w:bookmarkStart w:id="141" w:name="_Toc13696"/>
      <w:r>
        <w:rPr>
          <w:rFonts w:hint="eastAsia" w:ascii="微软雅黑" w:hAnsi="微软雅黑" w:eastAsia="微软雅黑" w:cs="微软雅黑"/>
          <w:b/>
          <w:color w:val="auto"/>
          <w:sz w:val="36"/>
          <w:szCs w:val="36"/>
        </w:rPr>
        <w:t>第六篇  响应文件格式要求</w:t>
      </w:r>
      <w:bookmarkEnd w:id="139"/>
      <w:bookmarkEnd w:id="140"/>
      <w:bookmarkEnd w:id="141"/>
    </w:p>
    <w:p>
      <w:pPr>
        <w:pStyle w:val="3"/>
        <w:spacing w:line="240" w:lineRule="auto"/>
        <w:rPr>
          <w:rFonts w:hint="eastAsia" w:ascii="微软雅黑" w:hAnsi="微软雅黑" w:eastAsia="微软雅黑" w:cs="微软雅黑"/>
          <w:color w:val="auto"/>
          <w:sz w:val="24"/>
          <w:szCs w:val="24"/>
        </w:rPr>
      </w:pPr>
      <w:bookmarkStart w:id="142" w:name="_Toc27382"/>
      <w:r>
        <w:rPr>
          <w:rFonts w:hint="eastAsia" w:ascii="微软雅黑" w:hAnsi="微软雅黑" w:eastAsia="微软雅黑" w:cs="微软雅黑"/>
          <w:color w:val="auto"/>
          <w:sz w:val="24"/>
          <w:szCs w:val="24"/>
        </w:rPr>
        <w:t>一、经济部分</w:t>
      </w:r>
      <w:bookmarkEnd w:id="14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3" w:name="_Toc6305"/>
      <w:r>
        <w:rPr>
          <w:rFonts w:hint="eastAsia" w:ascii="微软雅黑" w:hAnsi="微软雅黑" w:eastAsia="微软雅黑" w:cs="微软雅黑"/>
          <w:color w:val="auto"/>
          <w:sz w:val="24"/>
          <w:szCs w:val="24"/>
        </w:rPr>
        <w:t>二、服务部分</w:t>
      </w:r>
      <w:bookmarkEnd w:id="14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4" w:name="_Toc7207"/>
      <w:r>
        <w:rPr>
          <w:rFonts w:hint="eastAsia" w:ascii="微软雅黑" w:hAnsi="微软雅黑" w:eastAsia="微软雅黑" w:cs="微软雅黑"/>
          <w:color w:val="auto"/>
          <w:sz w:val="24"/>
          <w:szCs w:val="24"/>
        </w:rPr>
        <w:t>三、商务部分</w:t>
      </w:r>
      <w:bookmarkEnd w:id="144"/>
    </w:p>
    <w:p>
      <w:pPr>
        <w:snapToGrid w:val="0"/>
        <w:spacing w:line="360" w:lineRule="auto"/>
        <w:ind w:firstLine="480" w:firstLineChars="200"/>
        <w:rPr>
          <w:rFonts w:hint="eastAsia" w:ascii="微软雅黑" w:hAnsi="微软雅黑" w:eastAsia="微软雅黑" w:cs="微软雅黑"/>
          <w:color w:val="auto"/>
          <w:sz w:val="24"/>
          <w:szCs w:val="24"/>
        </w:rPr>
      </w:pPr>
      <w:bookmarkStart w:id="145" w:name="_Toc38358147"/>
      <w:bookmarkStart w:id="146" w:name="OLE_LINK10"/>
      <w:bookmarkStart w:id="147" w:name="OLE_LINK11"/>
      <w:r>
        <w:rPr>
          <w:rFonts w:hint="eastAsia" w:ascii="微软雅黑" w:hAnsi="微软雅黑" w:eastAsia="微软雅黑" w:cs="微软雅黑"/>
          <w:color w:val="auto"/>
          <w:sz w:val="24"/>
          <w:szCs w:val="24"/>
        </w:rPr>
        <w:t>（一）按照“第四篇  项目商务需求”提供相应资料</w:t>
      </w:r>
      <w:bookmarkEnd w:id="14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8" w:name="_Toc18417"/>
      <w:r>
        <w:rPr>
          <w:rFonts w:hint="eastAsia" w:ascii="微软雅黑" w:hAnsi="微软雅黑" w:eastAsia="微软雅黑" w:cs="微软雅黑"/>
          <w:color w:val="auto"/>
          <w:sz w:val="24"/>
          <w:szCs w:val="24"/>
        </w:rPr>
        <w:t>四、资格条件及其他</w:t>
      </w:r>
      <w:bookmarkEnd w:id="148"/>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9" w:name="_Toc19884"/>
      <w:r>
        <w:rPr>
          <w:rFonts w:hint="eastAsia" w:ascii="微软雅黑" w:hAnsi="微软雅黑" w:eastAsia="微软雅黑" w:cs="微软雅黑"/>
          <w:color w:val="auto"/>
          <w:sz w:val="24"/>
          <w:szCs w:val="24"/>
        </w:rPr>
        <w:t>五、其他应提供的资料</w:t>
      </w:r>
      <w:bookmarkEnd w:id="149"/>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6"/>
    <w:bookmarkEnd w:id="14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0" w:name="_Toc313888360"/>
      <w:bookmarkStart w:id="151" w:name="_Toc313008356"/>
      <w:bookmarkStart w:id="152" w:name="_Toc485108796"/>
      <w:bookmarkStart w:id="153" w:name="_Toc342913419"/>
      <w:bookmarkStart w:id="154" w:name="_Toc480979018"/>
      <w:bookmarkStart w:id="155" w:name="_Toc12789073"/>
      <w:bookmarkStart w:id="156" w:name="_Toc283382454"/>
      <w:r>
        <w:rPr>
          <w:rFonts w:hint="eastAsia"/>
          <w:b/>
          <w:color w:val="auto"/>
        </w:rPr>
        <w:t>经济部分</w:t>
      </w:r>
      <w:bookmarkEnd w:id="150"/>
      <w:bookmarkEnd w:id="151"/>
      <w:bookmarkEnd w:id="152"/>
      <w:bookmarkEnd w:id="153"/>
      <w:bookmarkEnd w:id="154"/>
    </w:p>
    <w:p>
      <w:pPr>
        <w:pStyle w:val="180"/>
        <w:ind w:left="450" w:firstLine="0" w:firstLineChars="0"/>
        <w:rPr>
          <w:b/>
          <w:color w:val="auto"/>
        </w:rPr>
      </w:pPr>
    </w:p>
    <w:bookmarkEnd w:id="155"/>
    <w:bookmarkEnd w:id="156"/>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tbl>
      <w:tblPr>
        <w:tblStyle w:val="58"/>
        <w:tblW w:w="7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164"/>
        <w:gridCol w:w="1380"/>
        <w:gridCol w:w="1757"/>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107" w:type="dxa"/>
            <w:vAlign w:val="center"/>
          </w:tcPr>
          <w:p>
            <w:pPr>
              <w:pStyle w:val="51"/>
              <w:spacing w:before="0" w:beforeAutospacing="0" w:after="0" w:afterAutospacing="0" w:line="480" w:lineRule="exact"/>
              <w:jc w:val="center"/>
              <w:rPr>
                <w:rFonts w:hint="eastAsia" w:ascii="方正仿宋_GBK" w:eastAsia="方正仿宋_GBK"/>
                <w:sz w:val="22"/>
                <w:szCs w:val="22"/>
              </w:rPr>
            </w:pPr>
            <w:r>
              <w:rPr>
                <w:rFonts w:hint="eastAsia" w:ascii="方正仿宋_GBK" w:eastAsia="方正仿宋_GBK"/>
                <w:sz w:val="22"/>
                <w:szCs w:val="22"/>
              </w:rPr>
              <w:t>维修项目</w:t>
            </w:r>
          </w:p>
        </w:tc>
        <w:tc>
          <w:tcPr>
            <w:tcW w:w="1164" w:type="dxa"/>
            <w:vAlign w:val="center"/>
          </w:tcPr>
          <w:p>
            <w:pPr>
              <w:pStyle w:val="51"/>
              <w:spacing w:before="0" w:after="0" w:line="480" w:lineRule="exact"/>
              <w:jc w:val="center"/>
              <w:rPr>
                <w:rFonts w:hint="eastAsia" w:ascii="方正仿宋_GBK" w:eastAsia="方正仿宋_GBK"/>
                <w:sz w:val="22"/>
                <w:szCs w:val="22"/>
                <w:lang w:val="en-US" w:eastAsia="zh-CN"/>
              </w:rPr>
            </w:pPr>
            <w:r>
              <w:rPr>
                <w:rFonts w:hint="eastAsia" w:ascii="方正仿宋_GBK" w:eastAsia="方正仿宋_GBK"/>
                <w:sz w:val="22"/>
                <w:szCs w:val="22"/>
                <w:lang w:val="en-US" w:eastAsia="zh-CN"/>
              </w:rPr>
              <w:t>品牌</w:t>
            </w:r>
          </w:p>
        </w:tc>
        <w:tc>
          <w:tcPr>
            <w:tcW w:w="1380" w:type="dxa"/>
            <w:vAlign w:val="center"/>
          </w:tcPr>
          <w:p>
            <w:pPr>
              <w:pStyle w:val="51"/>
              <w:spacing w:before="0" w:after="0" w:line="480" w:lineRule="exact"/>
              <w:jc w:val="center"/>
              <w:rPr>
                <w:rFonts w:hint="eastAsia" w:ascii="方正仿宋_GBK" w:eastAsia="方正仿宋_GBK"/>
                <w:sz w:val="22"/>
                <w:szCs w:val="22"/>
              </w:rPr>
            </w:pPr>
            <w:r>
              <w:rPr>
                <w:rFonts w:hint="eastAsia" w:ascii="方正仿宋_GBK" w:eastAsia="方正仿宋_GBK"/>
                <w:sz w:val="22"/>
                <w:szCs w:val="22"/>
                <w:lang w:val="en-US" w:eastAsia="zh-CN"/>
              </w:rPr>
              <w:t>规格型号</w:t>
            </w:r>
          </w:p>
        </w:tc>
        <w:tc>
          <w:tcPr>
            <w:tcW w:w="1757" w:type="dxa"/>
            <w:vAlign w:val="center"/>
          </w:tcPr>
          <w:p>
            <w:pPr>
              <w:pStyle w:val="51"/>
              <w:spacing w:before="0" w:after="0" w:line="480" w:lineRule="exact"/>
              <w:jc w:val="center"/>
              <w:rPr>
                <w:rFonts w:hint="eastAsia" w:ascii="方正仿宋_GBK" w:eastAsia="方正仿宋_GBK"/>
                <w:sz w:val="22"/>
                <w:szCs w:val="22"/>
              </w:rPr>
            </w:pPr>
            <w:r>
              <w:rPr>
                <w:rFonts w:hint="eastAsia" w:ascii="方正仿宋_GBK" w:eastAsia="方正仿宋_GBK"/>
                <w:sz w:val="22"/>
                <w:szCs w:val="22"/>
              </w:rPr>
              <w:t>维修价格（元）</w:t>
            </w: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r>
              <w:rPr>
                <w:rFonts w:hint="eastAsia" w:ascii="方正仿宋_GBK" w:eastAsia="方正仿宋_GBK"/>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更换彩行</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更换双焦彩行</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更换管座</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更换开关管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更换行管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更换高清行管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更换小三极管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更换中功率三极管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更换集成块</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更换二极管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更换电脑主板</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bl>
    <w:p>
      <w:p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1、各项报价均包含人工费、材料费、保险费、税费等各项费用。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请供应商完整填写本表。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57" w:name="OLE_LINK2"/>
      <w:bookmarkStart w:id="158" w:name="OLE_LINK1"/>
      <w:r>
        <w:rPr>
          <w:rFonts w:hint="eastAsia" w:ascii="方正仿宋_GBK" w:hAnsi="宋体" w:eastAsia="方正仿宋_GBK" w:cs="Times New Roman"/>
          <w:color w:val="auto"/>
          <w:sz w:val="24"/>
          <w:szCs w:val="28"/>
        </w:rPr>
        <w:t>，并逐页签字或盖章。</w:t>
      </w:r>
      <w:bookmarkEnd w:id="157"/>
      <w:bookmarkEnd w:id="158"/>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9" w:name="_Toc313888361"/>
      <w:bookmarkStart w:id="160" w:name="_Toc342913420"/>
      <w:bookmarkStart w:id="161" w:name="_Toc480979019"/>
      <w:bookmarkStart w:id="162" w:name="_Toc485108797"/>
      <w:bookmarkStart w:id="163" w:name="_Toc313008357"/>
      <w:r>
        <w:rPr>
          <w:rFonts w:hint="eastAsia"/>
          <w:b/>
          <w:color w:val="auto"/>
        </w:rPr>
        <w:t>二、服务部分</w:t>
      </w:r>
      <w:bookmarkEnd w:id="159"/>
      <w:bookmarkEnd w:id="160"/>
      <w:bookmarkEnd w:id="161"/>
      <w:bookmarkEnd w:id="162"/>
      <w:bookmarkEnd w:id="163"/>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5.若“响应情况”栏中仅填写“无偏离”或“有偏离”等内容而未作实质性参数描述，该供应商将</w:t>
      </w:r>
      <w:r>
        <w:rPr>
          <w:rFonts w:hint="eastAsia" w:ascii="方正仿宋_GBK" w:hAnsi="宋体" w:eastAsia="方正仿宋_GBK" w:cs="Times New Roman"/>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4" w:name="_Toc485108798"/>
      <w:bookmarkStart w:id="165" w:name="_Toc313888362"/>
      <w:bookmarkStart w:id="166" w:name="_Toc480979020"/>
      <w:bookmarkStart w:id="167" w:name="_Toc342913421"/>
      <w:bookmarkStart w:id="168" w:name="_Toc313008358"/>
      <w:r>
        <w:rPr>
          <w:rFonts w:hint="eastAsia"/>
          <w:b/>
          <w:color w:val="auto"/>
        </w:rPr>
        <w:t>三、商务部分</w:t>
      </w:r>
      <w:bookmarkEnd w:id="164"/>
      <w:bookmarkEnd w:id="165"/>
      <w:bookmarkEnd w:id="166"/>
      <w:bookmarkEnd w:id="167"/>
      <w:bookmarkEnd w:id="168"/>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9"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9"/>
      <w:bookmarkStart w:id="170" w:name="_Toc342913422"/>
      <w:bookmarkStart w:id="171" w:name="_Toc313008359"/>
      <w:bookmarkStart w:id="172"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0"/>
      <w:bookmarkEnd w:id="171"/>
      <w:bookmarkEnd w:id="172"/>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3" w:name="OLE_LINK4"/>
      <w:bookmarkStart w:id="174"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3"/>
    <w:bookmarkEnd w:id="174"/>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Style w:val="2"/>
        <w:bidi w:val="0"/>
        <w:jc w:val="center"/>
        <w:rPr>
          <w:rFonts w:hint="eastAsia" w:ascii="微软雅黑" w:hAnsi="微软雅黑" w:eastAsia="微软雅黑" w:cs="微软雅黑"/>
          <w:color w:val="auto"/>
          <w:sz w:val="36"/>
          <w:szCs w:val="36"/>
          <w:lang w:val="en-US" w:eastAsia="zh-CN"/>
        </w:rPr>
      </w:pPr>
      <w:bookmarkStart w:id="175" w:name="_Toc23716"/>
      <w:bookmarkStart w:id="176" w:name="_Toc27256"/>
      <w:r>
        <w:rPr>
          <w:rFonts w:hint="eastAsia" w:ascii="微软雅黑" w:hAnsi="微软雅黑" w:eastAsia="微软雅黑" w:cs="微软雅黑"/>
          <w:color w:val="auto"/>
          <w:sz w:val="36"/>
          <w:szCs w:val="36"/>
          <w:lang w:val="en-US" w:eastAsia="zh-CN"/>
        </w:rPr>
        <w:t>重庆医科大学附属永川医院</w:t>
      </w:r>
      <w:bookmarkEnd w:id="175"/>
    </w:p>
    <w:p>
      <w:pPr>
        <w:pStyle w:val="2"/>
        <w:bidi w:val="0"/>
        <w:jc w:val="center"/>
        <w:rPr>
          <w:rFonts w:hint="eastAsia" w:ascii="微软雅黑" w:hAnsi="微软雅黑" w:eastAsia="微软雅黑" w:cs="微软雅黑"/>
          <w:color w:val="auto"/>
          <w:sz w:val="36"/>
          <w:szCs w:val="36"/>
          <w:lang w:val="en-US" w:eastAsia="zh-CN"/>
        </w:rPr>
      </w:pPr>
      <w:bookmarkStart w:id="177" w:name="_Toc23798"/>
      <w:r>
        <w:rPr>
          <w:rFonts w:hint="eastAsia" w:ascii="微软雅黑" w:hAnsi="微软雅黑" w:eastAsia="微软雅黑" w:cs="微软雅黑"/>
          <w:color w:val="auto"/>
          <w:sz w:val="36"/>
          <w:szCs w:val="36"/>
          <w:lang w:val="en-US" w:eastAsia="zh-CN"/>
        </w:rPr>
        <w:t>参加医院院内采购活动来院人员</w:t>
      </w:r>
      <w:bookmarkEnd w:id="177"/>
    </w:p>
    <w:p>
      <w:pPr>
        <w:pStyle w:val="2"/>
        <w:bidi w:val="0"/>
        <w:jc w:val="center"/>
        <w:rPr>
          <w:rFonts w:hint="eastAsia" w:ascii="微软雅黑" w:hAnsi="微软雅黑" w:eastAsia="微软雅黑" w:cs="微软雅黑"/>
          <w:color w:val="auto"/>
          <w:sz w:val="36"/>
          <w:szCs w:val="36"/>
          <w:lang w:eastAsia="zh-CN"/>
        </w:rPr>
      </w:pPr>
      <w:bookmarkStart w:id="178" w:name="_Toc27460"/>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176"/>
      <w:bookmarkEnd w:id="178"/>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rPr>
          <w:color w:val="auto"/>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4A2DD9"/>
    <w:rsid w:val="04DA26C6"/>
    <w:rsid w:val="07F26429"/>
    <w:rsid w:val="0E0E625A"/>
    <w:rsid w:val="0E4D3D6E"/>
    <w:rsid w:val="0E5721EA"/>
    <w:rsid w:val="0E5A796A"/>
    <w:rsid w:val="109D57E0"/>
    <w:rsid w:val="134E0964"/>
    <w:rsid w:val="14C6168E"/>
    <w:rsid w:val="18130842"/>
    <w:rsid w:val="1CED540D"/>
    <w:rsid w:val="1DD87EDC"/>
    <w:rsid w:val="1F6D6E4A"/>
    <w:rsid w:val="1FCE723D"/>
    <w:rsid w:val="204C6181"/>
    <w:rsid w:val="20FB0BC7"/>
    <w:rsid w:val="23743B1F"/>
    <w:rsid w:val="25B7688A"/>
    <w:rsid w:val="25B91E1A"/>
    <w:rsid w:val="26380176"/>
    <w:rsid w:val="275D539C"/>
    <w:rsid w:val="28CD4235"/>
    <w:rsid w:val="2BBD2276"/>
    <w:rsid w:val="2F2348BD"/>
    <w:rsid w:val="2F6F1AD9"/>
    <w:rsid w:val="2FD06C0B"/>
    <w:rsid w:val="30A44277"/>
    <w:rsid w:val="3361798A"/>
    <w:rsid w:val="35E87A5C"/>
    <w:rsid w:val="369E4A52"/>
    <w:rsid w:val="38442273"/>
    <w:rsid w:val="38C010B0"/>
    <w:rsid w:val="391C67AE"/>
    <w:rsid w:val="39A3534F"/>
    <w:rsid w:val="3B30241A"/>
    <w:rsid w:val="3C4F6F1A"/>
    <w:rsid w:val="3F0A25D1"/>
    <w:rsid w:val="41007A8F"/>
    <w:rsid w:val="42030507"/>
    <w:rsid w:val="461B60BF"/>
    <w:rsid w:val="475461C4"/>
    <w:rsid w:val="492C6FBB"/>
    <w:rsid w:val="499D1F70"/>
    <w:rsid w:val="4A1025A8"/>
    <w:rsid w:val="4AD41B9B"/>
    <w:rsid w:val="4C4E289A"/>
    <w:rsid w:val="514069D9"/>
    <w:rsid w:val="51D77CAA"/>
    <w:rsid w:val="52ED493F"/>
    <w:rsid w:val="53AF5BA9"/>
    <w:rsid w:val="55297C80"/>
    <w:rsid w:val="56FF2E93"/>
    <w:rsid w:val="5B3D37B4"/>
    <w:rsid w:val="5B3E21DC"/>
    <w:rsid w:val="5BC414F3"/>
    <w:rsid w:val="5CAE15E3"/>
    <w:rsid w:val="5F3F2DAC"/>
    <w:rsid w:val="6022194E"/>
    <w:rsid w:val="619C43F3"/>
    <w:rsid w:val="6269072D"/>
    <w:rsid w:val="62A30CCB"/>
    <w:rsid w:val="63F76DDC"/>
    <w:rsid w:val="68F43A4A"/>
    <w:rsid w:val="6972525B"/>
    <w:rsid w:val="6B28360F"/>
    <w:rsid w:val="6B9F4D55"/>
    <w:rsid w:val="6DC70D5C"/>
    <w:rsid w:val="71231A63"/>
    <w:rsid w:val="73B34AD5"/>
    <w:rsid w:val="75BB4292"/>
    <w:rsid w:val="783A1618"/>
    <w:rsid w:val="7908485F"/>
    <w:rsid w:val="793F0B2C"/>
    <w:rsid w:val="797D07AB"/>
    <w:rsid w:val="7B306E47"/>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14750</Words>
  <Characters>15100</Characters>
  <Lines>182</Lines>
  <Paragraphs>51</Paragraphs>
  <TotalTime>11</TotalTime>
  <ScaleCrop>false</ScaleCrop>
  <LinksUpToDate>false</LinksUpToDate>
  <CharactersWithSpaces>16131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2022-09-26T01:57:05Z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D90EFDEDCD294DEAB041A069E42458C9</vt:lpwstr>
  </property>
</Properties>
</file>