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color w:val="000000" w:themeColor="text1"/>
          <w:sz w:val="28"/>
          <w:szCs w:val="20"/>
          <w14:textFill>
            <w14:solidFill>
              <w14:schemeClr w14:val="tx1"/>
            </w14:solidFill>
          </w14:textFill>
        </w:rPr>
      </w:pPr>
    </w:p>
    <w:p>
      <w:pPr>
        <w:rPr>
          <w:rFonts w:hint="eastAsia" w:ascii="微软雅黑" w:hAnsi="微软雅黑" w:eastAsia="微软雅黑" w:cs="微软雅黑"/>
          <w:color w:val="000000" w:themeColor="text1"/>
          <w:sz w:val="28"/>
          <w:szCs w:val="20"/>
          <w14:textFill>
            <w14:solidFill>
              <w14:schemeClr w14:val="tx1"/>
            </w14:solidFill>
          </w14:textFill>
        </w:rPr>
      </w:pPr>
    </w:p>
    <w:p>
      <w:pPr>
        <w:rPr>
          <w:rFonts w:hint="eastAsia" w:ascii="微软雅黑" w:hAnsi="微软雅黑" w:eastAsia="微软雅黑" w:cs="微软雅黑"/>
          <w:color w:val="000000" w:themeColor="text1"/>
          <w:sz w:val="28"/>
          <w:szCs w:val="20"/>
          <w14:textFill>
            <w14:solidFill>
              <w14:schemeClr w14:val="tx1"/>
            </w14:solidFill>
          </w14:textFill>
        </w:rPr>
      </w:pPr>
    </w:p>
    <w:p>
      <w:pPr>
        <w:jc w:val="center"/>
        <w:outlineLvl w:val="0"/>
        <w:rPr>
          <w:rFonts w:hint="eastAsia" w:ascii="微软雅黑" w:hAnsi="微软雅黑" w:eastAsia="微软雅黑" w:cs="微软雅黑"/>
          <w:color w:val="000000" w:themeColor="text1"/>
          <w:sz w:val="44"/>
          <w:szCs w:val="44"/>
          <w14:textFill>
            <w14:solidFill>
              <w14:schemeClr w14:val="tx1"/>
            </w14:solidFill>
          </w14:textFill>
        </w:rPr>
      </w:pPr>
      <w:bookmarkStart w:id="0" w:name="_Toc13144"/>
      <w:bookmarkStart w:id="1" w:name="_Toc7483"/>
      <w:r>
        <w:rPr>
          <w:rFonts w:hint="eastAsia" w:ascii="微软雅黑" w:hAnsi="微软雅黑" w:eastAsia="微软雅黑" w:cs="微软雅黑"/>
          <w:color w:val="000000" w:themeColor="text1"/>
          <w:sz w:val="44"/>
          <w:szCs w:val="44"/>
          <w14:textFill>
            <w14:solidFill>
              <w14:schemeClr w14:val="tx1"/>
            </w14:solidFill>
          </w14:textFill>
        </w:rPr>
        <w:t>重庆医科大学附属永川医院</w:t>
      </w:r>
      <w:bookmarkEnd w:id="0"/>
      <w:bookmarkEnd w:id="1"/>
    </w:p>
    <w:p>
      <w:pPr>
        <w:jc w:val="center"/>
        <w:outlineLvl w:val="9"/>
        <w:rPr>
          <w:rFonts w:hint="eastAsia" w:ascii="微软雅黑" w:hAnsi="微软雅黑" w:eastAsia="微软雅黑" w:cs="微软雅黑"/>
          <w:color w:val="000000" w:themeColor="text1"/>
          <w:sz w:val="44"/>
          <w:szCs w:val="44"/>
          <w14:textFill>
            <w14:solidFill>
              <w14:schemeClr w14:val="tx1"/>
            </w14:solidFill>
          </w14:textFill>
        </w:rPr>
      </w:pPr>
    </w:p>
    <w:p>
      <w:pPr>
        <w:jc w:val="center"/>
        <w:outlineLvl w:val="9"/>
        <w:rPr>
          <w:rFonts w:hint="eastAsia" w:ascii="微软雅黑" w:hAnsi="微软雅黑" w:eastAsia="微软雅黑" w:cs="微软雅黑"/>
          <w:color w:val="000000" w:themeColor="text1"/>
          <w:spacing w:val="80"/>
          <w:sz w:val="44"/>
          <w:szCs w:val="44"/>
          <w14:textFill>
            <w14:solidFill>
              <w14:schemeClr w14:val="tx1"/>
            </w14:solidFill>
          </w14:textFill>
        </w:rPr>
      </w:pPr>
    </w:p>
    <w:p>
      <w:pPr>
        <w:jc w:val="center"/>
        <w:outlineLvl w:val="0"/>
        <w:rPr>
          <w:rFonts w:hint="eastAsia" w:ascii="微软雅黑" w:hAnsi="微软雅黑" w:eastAsia="微软雅黑" w:cs="微软雅黑"/>
          <w:color w:val="000000" w:themeColor="text1"/>
          <w:spacing w:val="80"/>
          <w:sz w:val="44"/>
          <w:szCs w:val="44"/>
          <w14:textFill>
            <w14:solidFill>
              <w14:schemeClr w14:val="tx1"/>
            </w14:solidFill>
          </w14:textFill>
        </w:rPr>
      </w:pPr>
      <w:bookmarkStart w:id="2" w:name="_Toc28720"/>
      <w:bookmarkStart w:id="3" w:name="_Toc3199"/>
      <w:r>
        <w:rPr>
          <w:rFonts w:hint="eastAsia" w:ascii="微软雅黑" w:hAnsi="微软雅黑" w:eastAsia="微软雅黑" w:cs="微软雅黑"/>
          <w:color w:val="000000" w:themeColor="text1"/>
          <w:spacing w:val="80"/>
          <w:sz w:val="44"/>
          <w:szCs w:val="44"/>
          <w14:textFill>
            <w14:solidFill>
              <w14:schemeClr w14:val="tx1"/>
            </w14:solidFill>
          </w14:textFill>
        </w:rPr>
        <w:t>比选文件</w:t>
      </w:r>
      <w:bookmarkEnd w:id="2"/>
      <w:bookmarkEnd w:id="3"/>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960" w:firstLineChars="300"/>
        <w:rPr>
          <w:rFonts w:hint="eastAsia" w:ascii="微软雅黑" w:hAnsi="微软雅黑" w:eastAsia="微软雅黑" w:cs="微软雅黑"/>
          <w:color w:val="000000" w:themeColor="text1"/>
          <w:sz w:val="32"/>
          <w:szCs w:val="32"/>
          <w:lang w:val="en-US" w:eastAsia="zh-CN"/>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项目编号：</w:t>
      </w:r>
      <w:r>
        <w:rPr>
          <w:rFonts w:hint="eastAsia" w:ascii="微软雅黑" w:hAnsi="微软雅黑" w:eastAsia="微软雅黑" w:cs="微软雅黑"/>
          <w:color w:val="000000" w:themeColor="text1"/>
          <w:sz w:val="32"/>
          <w:szCs w:val="32"/>
          <w:lang w:val="en-US" w:eastAsia="zh-CN"/>
          <w14:textFill>
            <w14:solidFill>
              <w14:schemeClr w14:val="tx1"/>
            </w14:solidFill>
          </w14:textFill>
        </w:rPr>
        <w:t>2022FW028</w:t>
      </w:r>
    </w:p>
    <w:p>
      <w:pPr>
        <w:spacing w:line="700" w:lineRule="exact"/>
        <w:ind w:firstLine="960" w:firstLineChars="300"/>
        <w:rPr>
          <w:rFonts w:hint="eastAsia" w:ascii="微软雅黑" w:hAnsi="微软雅黑" w:eastAsia="微软雅黑" w:cs="微软雅黑"/>
          <w:color w:val="000000" w:themeColor="text1"/>
          <w:sz w:val="32"/>
          <w:szCs w:val="32"/>
          <w:lang w:eastAsia="zh-CN"/>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项目名称：</w:t>
      </w:r>
      <w:r>
        <w:rPr>
          <w:rFonts w:hint="eastAsia" w:ascii="微软雅黑" w:hAnsi="微软雅黑" w:eastAsia="微软雅黑" w:cs="微软雅黑"/>
          <w:color w:val="000000" w:themeColor="text1"/>
          <w:sz w:val="32"/>
          <w:szCs w:val="32"/>
          <w:lang w:val="en-US" w:eastAsia="zh-CN"/>
          <w14:textFill>
            <w14:solidFill>
              <w14:schemeClr w14:val="tx1"/>
            </w14:solidFill>
          </w14:textFill>
        </w:rPr>
        <w:t>扶手</w:t>
      </w:r>
      <w:r>
        <w:rPr>
          <w:rFonts w:hint="eastAsia" w:ascii="微软雅黑" w:hAnsi="微软雅黑" w:eastAsia="微软雅黑" w:cs="微软雅黑"/>
          <w:color w:val="000000" w:themeColor="text1"/>
          <w:sz w:val="32"/>
          <w:szCs w:val="32"/>
          <w:lang w:eastAsia="zh-CN"/>
          <w14:textFill>
            <w14:solidFill>
              <w14:schemeClr w14:val="tx1"/>
            </w14:solidFill>
          </w14:textFill>
        </w:rPr>
        <w:t>安装服务</w:t>
      </w: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 xml:space="preserve">      </w:t>
      </w: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960" w:firstLineChars="300"/>
        <w:rPr>
          <w:rFonts w:hint="eastAsia" w:ascii="微软雅黑" w:hAnsi="微软雅黑" w:eastAsia="微软雅黑" w:cs="微软雅黑"/>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采购人：重庆医科大学附属永川医院</w:t>
      </w:r>
    </w:p>
    <w:p>
      <w:pPr>
        <w:spacing w:line="700" w:lineRule="exact"/>
        <w:ind w:firstLine="2240" w:firstLineChars="700"/>
        <w:rPr>
          <w:rFonts w:hint="eastAsia" w:ascii="微软雅黑" w:hAnsi="微软雅黑" w:eastAsia="微软雅黑" w:cs="微软雅黑"/>
          <w:color w:val="000000" w:themeColor="text1"/>
          <w:kern w:val="13"/>
          <w:sz w:val="32"/>
          <w:szCs w:val="32"/>
          <w14:textFill>
            <w14:solidFill>
              <w14:schemeClr w14:val="tx1"/>
            </w14:solidFill>
          </w14:textFill>
        </w:rPr>
      </w:pPr>
      <w:r>
        <w:rPr>
          <w:rFonts w:hint="eastAsia" w:ascii="微软雅黑" w:hAnsi="微软雅黑" w:eastAsia="微软雅黑" w:cs="微软雅黑"/>
          <w:color w:val="000000" w:themeColor="text1"/>
          <w:kern w:val="13"/>
          <w:sz w:val="32"/>
          <w:szCs w:val="32"/>
          <w14:textFill>
            <w14:solidFill>
              <w14:schemeClr w14:val="tx1"/>
            </w14:solidFill>
          </w14:textFill>
        </w:rPr>
        <w:t>二〇二二年</w:t>
      </w:r>
      <w:r>
        <w:rPr>
          <w:rFonts w:hint="eastAsia" w:ascii="微软雅黑" w:hAnsi="微软雅黑" w:eastAsia="微软雅黑" w:cs="微软雅黑"/>
          <w:color w:val="000000" w:themeColor="text1"/>
          <w:kern w:val="13"/>
          <w:sz w:val="32"/>
          <w:szCs w:val="32"/>
          <w:lang w:val="en-US" w:eastAsia="zh-CN"/>
          <w14:textFill>
            <w14:solidFill>
              <w14:schemeClr w14:val="tx1"/>
            </w14:solidFill>
          </w14:textFill>
        </w:rPr>
        <w:t>八</w:t>
      </w:r>
      <w:r>
        <w:rPr>
          <w:rFonts w:hint="eastAsia" w:ascii="微软雅黑" w:hAnsi="微软雅黑" w:eastAsia="微软雅黑" w:cs="微软雅黑"/>
          <w:color w:val="000000" w:themeColor="text1"/>
          <w:kern w:val="13"/>
          <w:sz w:val="32"/>
          <w:szCs w:val="32"/>
          <w14:textFill>
            <w14:solidFill>
              <w14:schemeClr w14:val="tx1"/>
            </w14:solidFill>
          </w14:textFill>
        </w:rPr>
        <w:t>月</w:t>
      </w:r>
    </w:p>
    <w:p>
      <w:pPr>
        <w:spacing w:line="700" w:lineRule="exact"/>
        <w:ind w:firstLine="960" w:firstLineChars="300"/>
        <w:rPr>
          <w:rFonts w:hint="eastAsia" w:ascii="微软雅黑" w:hAnsi="微软雅黑" w:eastAsia="微软雅黑" w:cs="微软雅黑"/>
          <w:color w:val="000000" w:themeColor="text1"/>
          <w:kern w:val="13"/>
          <w:sz w:val="32"/>
          <w:szCs w:val="32"/>
          <w14:textFill>
            <w14:solidFill>
              <w14:schemeClr w14:val="tx1"/>
            </w14:solidFill>
          </w14:textFill>
        </w:rPr>
      </w:pPr>
    </w:p>
    <w:p>
      <w:pPr>
        <w:spacing w:line="420" w:lineRule="exact"/>
        <w:jc w:val="center"/>
        <w:outlineLvl w:val="9"/>
        <w:rPr>
          <w:rFonts w:hint="eastAsia" w:ascii="微软雅黑" w:hAnsi="微软雅黑" w:eastAsia="微软雅黑" w:cs="微软雅黑"/>
          <w:color w:val="000000" w:themeColor="text1"/>
          <w:sz w:val="44"/>
          <w:szCs w:val="28"/>
          <w14:textFill>
            <w14:solidFill>
              <w14:schemeClr w14:val="tx1"/>
            </w14:solidFill>
          </w14:textFill>
        </w:rPr>
      </w:pPr>
    </w:p>
    <w:p>
      <w:pPr>
        <w:spacing w:line="420" w:lineRule="exact"/>
        <w:jc w:val="center"/>
        <w:outlineLvl w:val="9"/>
        <w:rPr>
          <w:rFonts w:hint="eastAsia" w:ascii="微软雅黑" w:hAnsi="微软雅黑" w:eastAsia="微软雅黑" w:cs="微软雅黑"/>
          <w:color w:val="000000" w:themeColor="text1"/>
          <w:sz w:val="44"/>
          <w:szCs w:val="28"/>
          <w14:textFill>
            <w14:solidFill>
              <w14:schemeClr w14:val="tx1"/>
            </w14:solidFill>
          </w14:textFill>
        </w:rPr>
      </w:pPr>
    </w:p>
    <w:p>
      <w:pPr>
        <w:spacing w:line="480" w:lineRule="exact"/>
        <w:jc w:val="center"/>
        <w:outlineLvl w:val="9"/>
        <w:rPr>
          <w:rFonts w:hint="eastAsia" w:ascii="微软雅黑" w:hAnsi="微软雅黑" w:eastAsia="微软雅黑" w:cs="微软雅黑"/>
          <w:color w:val="000000" w:themeColor="text1"/>
          <w:sz w:val="44"/>
          <w:szCs w:val="28"/>
          <w14:textFill>
            <w14:solidFill>
              <w14:schemeClr w14:val="tx1"/>
            </w14:solidFill>
          </w14:textFill>
        </w:rPr>
      </w:pPr>
    </w:p>
    <w:p>
      <w:pPr>
        <w:tabs>
          <w:tab w:val="right" w:leader="dot" w:pos="9402"/>
        </w:tabs>
        <w:spacing w:line="480" w:lineRule="exact"/>
        <w:ind w:left="420" w:leftChars="200"/>
        <w:rPr>
          <w:rFonts w:hint="eastAsia" w:ascii="微软雅黑" w:hAnsi="微软雅黑" w:eastAsia="微软雅黑" w:cs="微软雅黑"/>
          <w:color w:val="000000" w:themeColor="text1"/>
          <w:sz w:val="44"/>
          <w:szCs w:val="28"/>
          <w14:textFill>
            <w14:solidFill>
              <w14:schemeClr w14:val="tx1"/>
            </w14:solidFill>
          </w14:textFill>
        </w:rPr>
      </w:pPr>
      <w:r>
        <w:rPr>
          <w:rFonts w:hint="eastAsia" w:ascii="微软雅黑" w:hAnsi="微软雅黑" w:eastAsia="微软雅黑" w:cs="微软雅黑"/>
          <w:color w:val="000000" w:themeColor="text1"/>
          <w:sz w:val="44"/>
          <w:szCs w:val="28"/>
          <w14:textFill>
            <w14:solidFill>
              <w14:schemeClr w14:val="tx1"/>
            </w14:solidFill>
          </w14:textFill>
        </w:rPr>
        <w:t xml:space="preserve"> </w:t>
      </w:r>
    </w:p>
    <w:sdt>
      <w:sdtPr>
        <w:rPr>
          <w:rFonts w:hint="eastAsia" w:ascii="微软雅黑" w:hAnsi="微软雅黑" w:eastAsia="微软雅黑" w:cs="微软雅黑"/>
          <w:color w:val="000000" w:themeColor="text1"/>
          <w:kern w:val="2"/>
          <w:sz w:val="32"/>
          <w:szCs w:val="36"/>
          <w:lang w:val="en-US" w:eastAsia="zh-CN" w:bidi="ar-SA"/>
          <w14:textFill>
            <w14:solidFill>
              <w14:schemeClr w14:val="tx1"/>
            </w14:solidFill>
          </w14:textFill>
        </w:rPr>
        <w:id w:val="147467355"/>
        <w15:color w:val="DBDBDB"/>
        <w:docPartObj>
          <w:docPartGallery w:val="Table of Contents"/>
          <w:docPartUnique/>
        </w:docPartObj>
      </w:sdtPr>
      <w:sdtEndPr>
        <w:rPr>
          <w:rFonts w:hint="eastAsia" w:ascii="微软雅黑" w:hAnsi="微软雅黑" w:eastAsia="微软雅黑" w:cs="微软雅黑"/>
          <w:b/>
          <w:color w:val="000000" w:themeColor="text1"/>
          <w:kern w:val="2"/>
          <w:sz w:val="21"/>
          <w:szCs w:val="28"/>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color w:val="000000" w:themeColor="text1"/>
              <w:sz w:val="32"/>
              <w:szCs w:val="36"/>
              <w14:textFill>
                <w14:solidFill>
                  <w14:schemeClr w14:val="tx1"/>
                </w14:solidFill>
              </w14:textFill>
            </w:rPr>
          </w:pPr>
          <w:r>
            <w:rPr>
              <w:rFonts w:hint="eastAsia" w:ascii="微软雅黑" w:hAnsi="微软雅黑" w:eastAsia="微软雅黑" w:cs="微软雅黑"/>
              <w:color w:val="000000" w:themeColor="text1"/>
              <w:sz w:val="32"/>
              <w:szCs w:val="36"/>
              <w14:textFill>
                <w14:solidFill>
                  <w14:schemeClr w14:val="tx1"/>
                </w14:solidFill>
              </w14:textFill>
            </w:rPr>
            <w:t>目录</w:t>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 w:val="44"/>
              <w:szCs w:val="28"/>
              <w14:textFill>
                <w14:solidFill>
                  <w14:schemeClr w14:val="tx1"/>
                </w14:solidFill>
              </w14:textFill>
            </w:rPr>
            <w:fldChar w:fldCharType="begin"/>
          </w:r>
          <w:r>
            <w:rPr>
              <w:rFonts w:hint="eastAsia" w:ascii="微软雅黑" w:hAnsi="微软雅黑" w:eastAsia="微软雅黑" w:cs="微软雅黑"/>
              <w:color w:val="000000" w:themeColor="text1"/>
              <w:sz w:val="44"/>
              <w:szCs w:val="28"/>
              <w14:textFill>
                <w14:solidFill>
                  <w14:schemeClr w14:val="tx1"/>
                </w14:solidFill>
              </w14:textFill>
            </w:rPr>
            <w:instrText xml:space="preserve">TOC \o "1-2" \h \u </w:instrText>
          </w:r>
          <w:r>
            <w:rPr>
              <w:rFonts w:hint="eastAsia" w:ascii="微软雅黑" w:hAnsi="微软雅黑" w:eastAsia="微软雅黑" w:cs="微软雅黑"/>
              <w:color w:val="000000" w:themeColor="text1"/>
              <w:sz w:val="44"/>
              <w:szCs w:val="28"/>
              <w14:textFill>
                <w14:solidFill>
                  <w14:schemeClr w14:val="tx1"/>
                </w14:solidFill>
              </w14:textFill>
            </w:rPr>
            <w:fldChar w:fldCharType="separate"/>
          </w: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_Toc13144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44"/>
              <w14:textFill>
                <w14:solidFill>
                  <w14:schemeClr w14:val="tx1"/>
                </w14:solidFill>
              </w14:textFill>
            </w:rPr>
            <w:t>重庆医科大学附属永川医院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_Toc13144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0</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_Toc28720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pacing w:val="80"/>
              <w:szCs w:val="44"/>
              <w14:textFill>
                <w14:solidFill>
                  <w14:schemeClr w14:val="tx1"/>
                </w14:solidFill>
              </w14:textFill>
            </w:rPr>
            <w:t>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0</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_Toc4595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_Toc4595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_Toc1395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_Toc15237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rFonts w:hint="eastAsia" w:ascii="微软雅黑" w:hAnsi="微软雅黑" w:eastAsia="微软雅黑" w:cs="微软雅黑"/>
              <w:color w:val="000000" w:themeColor="text1"/>
              <w14:textFill>
                <w14:solidFill>
                  <w14:schemeClr w14:val="tx1"/>
                </w14:solidFill>
              </w14:textFill>
            </w:rPr>
            <w:t>：</w:t>
          </w:r>
          <w:r>
            <w:rPr>
              <w:rFonts w:hint="eastAsia" w:ascii="微软雅黑" w:hAnsi="微软雅黑" w:eastAsia="微软雅黑" w:cs="微软雅黑"/>
              <w:color w:val="000000" w:themeColor="text1"/>
              <w:szCs w:val="24"/>
              <w14:textFill>
                <w14:solidFill>
                  <w14:schemeClr w14:val="tx1"/>
                </w14:solidFill>
              </w14:textFill>
            </w:rPr>
            <w:t>医院自筹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_Toc22217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_Toc22217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_Toc16128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_Toc16644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_Toc16644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_Toc4333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_Toc4333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_Toc19843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_Toc18501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_Toc26147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_Toc26147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_Toc17166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_Toc17166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_Toc9706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_Toc30952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_Toc30952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_Toc5097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_Toc5097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_Toc13032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_Toc16918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_Toc16918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_Toc23417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_Toc22589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_Toc22589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_Toc28186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_Toc28186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_Toc4920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_Toc4920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_Toc3632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_Toc17155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一、项目一览表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_Toc17155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_Toc17736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_Toc17736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_Toc26226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_Toc26226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_Toc11382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一、服务时间、地点及验收方式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_Toc14736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_Toc14736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_Toc8639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三、付款方式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_Toc8639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_Toc29676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四、 维修费用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_Toc29676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_Toc29095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五</w:t>
          </w:r>
          <w:r>
            <w:rPr>
              <w:rFonts w:hint="eastAsia" w:ascii="微软雅黑" w:hAnsi="微软雅黑" w:eastAsia="微软雅黑" w:cs="微软雅黑"/>
              <w:color w:val="000000" w:themeColor="text1"/>
              <w:szCs w:val="24"/>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_Toc29095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_Toc7777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六</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_Toc7777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_Toc24156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_Toc24156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_Toc25636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_Toc25636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_Toc30999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二、服务内容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_Toc30999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_Toc8461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kern w:val="2"/>
              <w:szCs w:val="24"/>
              <w:lang w:val="en-US" w:eastAsia="zh-CN" w:bidi="ar-SA"/>
              <w14:textFill>
                <w14:solidFill>
                  <w14:schemeClr w14:val="tx1"/>
                </w14:solidFill>
              </w14:textFill>
            </w:rPr>
            <w:t>合同包括以下内容：服务内容、服务要求、工作方案等内容。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_Toc10154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三</w:t>
          </w:r>
          <w:r>
            <w:rPr>
              <w:rFonts w:hint="eastAsia" w:ascii="微软雅黑" w:hAnsi="微软雅黑" w:eastAsia="微软雅黑" w:cs="微软雅黑"/>
              <w:color w:val="000000" w:themeColor="text1"/>
              <w:szCs w:val="24"/>
              <w14:textFill>
                <w14:solidFill>
                  <w14:schemeClr w14:val="tx1"/>
                </w14:solidFill>
              </w14:textFill>
            </w:rPr>
            <w:t>、合同价格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_Toc10154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_Toc16261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_Toc16211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_Toc19065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_Toc19065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_Toc10058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_Toc10058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_Toc31804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_Toc31804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_Toc18601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_Toc18601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_Toc6475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_Toc6475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_Toc32408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_Toc32408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_Toc7751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_Toc7751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_Toc4330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_Toc4330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_Toc17057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_Toc21643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_Toc21643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_Toc7630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_Toc14049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36"/>
              <w:lang w:val="en-US" w:eastAsia="zh-CN"/>
              <w14:textFill>
                <w14:solidFill>
                  <w14:schemeClr w14:val="tx1"/>
                </w14:solidFill>
              </w14:textFill>
            </w:rPr>
            <w:t>重庆医科大学附属永川医院参加医院院内采购活动来院人员</w:t>
          </w:r>
          <w:r>
            <w:rPr>
              <w:rFonts w:hint="eastAsia" w:ascii="微软雅黑" w:hAnsi="微软雅黑" w:eastAsia="微软雅黑" w:cs="微软雅黑"/>
              <w:color w:val="000000" w:themeColor="text1"/>
              <w:szCs w:val="36"/>
              <w14:textFill>
                <w14:solidFill>
                  <w14:schemeClr w14:val="tx1"/>
                </w14:solidFill>
              </w14:textFill>
            </w:rPr>
            <w:t>新冠肺炎疫情防控工作</w:t>
          </w:r>
          <w:r>
            <w:rPr>
              <w:rFonts w:hint="eastAsia" w:ascii="微软雅黑" w:hAnsi="微软雅黑" w:eastAsia="微软雅黑" w:cs="微软雅黑"/>
              <w:color w:val="000000" w:themeColor="text1"/>
              <w:szCs w:val="36"/>
              <w:lang w:eastAsia="zh-CN"/>
              <w14:textFill>
                <w14:solidFill>
                  <w14:schemeClr w14:val="tx1"/>
                </w14:solidFill>
              </w14:textFill>
            </w:rPr>
            <w:t>告知书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tabs>
              <w:tab w:val="right" w:leader="dot" w:pos="9402"/>
            </w:tabs>
            <w:spacing w:line="480" w:lineRule="exact"/>
            <w:ind w:left="420" w:leftChars="200"/>
            <w:rPr>
              <w:rFonts w:hint="eastAsia" w:ascii="微软雅黑" w:hAnsi="微软雅黑" w:eastAsia="微软雅黑" w:cs="微软雅黑"/>
              <w:color w:val="000000" w:themeColor="text1"/>
              <w:sz w:val="44"/>
              <w:szCs w:val="28"/>
              <w14:textFill>
                <w14:solidFill>
                  <w14:schemeClr w14:val="tx1"/>
                </w14:solidFill>
              </w14:textFill>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微软雅黑" w:hAnsi="微软雅黑" w:eastAsia="微软雅黑" w:cs="微软雅黑"/>
              <w:color w:val="000000" w:themeColor="text1"/>
              <w:szCs w:val="28"/>
              <w14:textFill>
                <w14:solidFill>
                  <w14:schemeClr w14:val="tx1"/>
                </w14:solidFill>
              </w14:textFill>
            </w:rPr>
            <w:fldChar w:fldCharType="end"/>
          </w:r>
        </w:p>
      </w:sdtContent>
    </w:sdt>
    <w:p>
      <w:pPr>
        <w:pStyle w:val="3"/>
        <w:bidi w:val="0"/>
        <w:jc w:val="center"/>
        <w:rPr>
          <w:rFonts w:hint="eastAsia" w:ascii="微软雅黑" w:hAnsi="微软雅黑" w:eastAsia="微软雅黑" w:cs="微软雅黑"/>
          <w:b/>
          <w:color w:val="000000" w:themeColor="text1"/>
          <w14:textFill>
            <w14:solidFill>
              <w14:schemeClr w14:val="tx1"/>
            </w14:solidFill>
          </w14:textFill>
        </w:rPr>
      </w:pPr>
      <w:bookmarkStart w:id="4" w:name="_Toc4595"/>
      <w:bookmarkStart w:id="5" w:name="_Toc7014"/>
      <w:bookmarkStart w:id="6" w:name="_Toc485108766"/>
      <w:bookmarkStart w:id="7" w:name="_Toc12789052"/>
      <w:bookmarkStart w:id="8" w:name="_Toc11641050"/>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4"/>
      <w:bookmarkEnd w:id="5"/>
      <w:bookmarkEnd w:id="6"/>
      <w:bookmarkEnd w:id="7"/>
      <w:bookmarkEnd w:id="8"/>
    </w:p>
    <w:p>
      <w:pPr>
        <w:ind w:firstLine="48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bookmarkStart w:id="9" w:name="_Toc373860293"/>
      <w:bookmarkStart w:id="10" w:name="_Toc317775178"/>
      <w:r>
        <w:rPr>
          <w:rFonts w:hint="eastAsia" w:ascii="微软雅黑" w:hAnsi="微软雅黑" w:eastAsia="微软雅黑" w:cs="微软雅黑"/>
          <w:color w:val="000000" w:themeColor="text1"/>
          <w:sz w:val="24"/>
          <w:szCs w:val="24"/>
          <w14:textFill>
            <w14:solidFill>
              <w14:schemeClr w14:val="tx1"/>
            </w14:solidFill>
          </w14:textFill>
        </w:rPr>
        <w:t>重庆医科大学附属永川医院对扶手安装服务项目进行院内比选采购。欢迎有资格、有实力的潜在供应商参加。</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 w:name="_Toc317775175"/>
      <w:bookmarkStart w:id="12" w:name="_Toc485108767"/>
      <w:bookmarkStart w:id="13" w:name="_Toc18776"/>
      <w:bookmarkStart w:id="14" w:name="_Toc1395"/>
      <w:bookmarkStart w:id="15" w:name="_Toc313893526"/>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11"/>
      <w:bookmarkEnd w:id="12"/>
      <w:bookmarkEnd w:id="13"/>
      <w:bookmarkEnd w:id="14"/>
      <w:bookmarkEnd w:id="15"/>
    </w:p>
    <w:tbl>
      <w:tblPr>
        <w:tblStyle w:val="59"/>
        <w:tblpPr w:leftFromText="180" w:rightFromText="180" w:vertAnchor="text" w:tblpXSpec="center" w:tblpY="1"/>
        <w:tblOverlap w:val="never"/>
        <w:tblW w:w="8257"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428"/>
        <w:gridCol w:w="2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428" w:type="dxa"/>
          </w:tcPr>
          <w:p>
            <w:pPr>
              <w:spacing w:line="400" w:lineRule="exact"/>
              <w:ind w:left="720" w:hanging="720" w:hangingChars="3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414" w:type="dxa"/>
            <w:vAlign w:val="center"/>
          </w:tcPr>
          <w:p>
            <w:pPr>
              <w:spacing w:line="40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default" w:ascii="方正仿宋_GBK" w:hAnsi="宋体" w:eastAsia="方正仿宋_GBK"/>
                <w:color w:val="auto"/>
                <w:sz w:val="24"/>
                <w:szCs w:val="24"/>
                <w:lang w:val="en-US"/>
              </w:rPr>
            </w:pPr>
            <w:r>
              <w:rPr>
                <w:rFonts w:hint="eastAsia" w:ascii="微软雅黑" w:hAnsi="微软雅黑" w:eastAsia="微软雅黑" w:cs="微软雅黑"/>
                <w:color w:val="000000" w:themeColor="text1"/>
                <w:sz w:val="24"/>
                <w:szCs w:val="24"/>
                <w14:textFill>
                  <w14:solidFill>
                    <w14:schemeClr w14:val="tx1"/>
                  </w14:solidFill>
                </w14:textFill>
              </w:rPr>
              <w:t>扶手安装服务</w:t>
            </w:r>
          </w:p>
        </w:tc>
        <w:tc>
          <w:tcPr>
            <w:tcW w:w="2428" w:type="dxa"/>
            <w:vAlign w:val="center"/>
          </w:tcPr>
          <w:p>
            <w:pPr>
              <w:spacing w:line="40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414" w:type="dxa"/>
            <w:vAlign w:val="center"/>
          </w:tcPr>
          <w:p>
            <w:pPr>
              <w:spacing w:line="400" w:lineRule="exact"/>
              <w:ind w:firstLine="480" w:firstLineChars="200"/>
              <w:jc w:val="center"/>
              <w:rPr>
                <w:rFonts w:hint="default"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质保期两年以上</w:t>
            </w:r>
          </w:p>
        </w:tc>
      </w:tr>
    </w:tbl>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p>
    <w:p>
      <w:pPr>
        <w:keepNext/>
        <w:keepLines/>
        <w:numPr>
          <w:ilvl w:val="0"/>
          <w:numId w:val="13"/>
        </w:numPr>
        <w:outlineLvl w:val="1"/>
        <w:rPr>
          <w:rFonts w:hint="eastAsia" w:ascii="微软雅黑" w:hAnsi="微软雅黑" w:eastAsia="微软雅黑" w:cs="微软雅黑"/>
          <w:color w:val="000000" w:themeColor="text1"/>
          <w:sz w:val="24"/>
          <w:szCs w:val="24"/>
          <w14:textFill>
            <w14:solidFill>
              <w14:schemeClr w14:val="tx1"/>
            </w14:solidFill>
          </w14:textFill>
        </w:rPr>
      </w:pPr>
      <w:bookmarkStart w:id="16" w:name="_Toc25564"/>
      <w:bookmarkStart w:id="17" w:name="_Toc485108768"/>
      <w:bookmarkStart w:id="18" w:name="_Toc15237"/>
      <w:r>
        <w:rPr>
          <w:rStyle w:val="70"/>
          <w:rFonts w:hint="eastAsia" w:ascii="微软雅黑" w:hAnsi="微软雅黑" w:eastAsia="微软雅黑" w:cs="微软雅黑"/>
          <w:color w:val="000000" w:themeColor="text1"/>
          <w:sz w:val="24"/>
          <w:szCs w:val="24"/>
          <w:lang w:val="en-US" w:eastAsia="zh-CN"/>
          <w14:textFill>
            <w14:solidFill>
              <w14:schemeClr w14:val="tx1"/>
            </w14:solidFill>
          </w14:textFill>
        </w:rPr>
        <w:t>资金来源</w:t>
      </w:r>
      <w:bookmarkEnd w:id="16"/>
      <w:bookmarkEnd w:id="17"/>
      <w:r>
        <w:rPr>
          <w:rFonts w:hint="eastAsia" w:ascii="微软雅黑" w:hAnsi="微软雅黑" w:eastAsia="微软雅黑" w:cs="微软雅黑"/>
          <w:color w:val="000000" w:themeColor="text1"/>
          <w14:textFill>
            <w14:solidFill>
              <w14:schemeClr w14:val="tx1"/>
            </w14:solidFill>
          </w14:textFill>
        </w:rPr>
        <w:t>：</w:t>
      </w:r>
      <w:bookmarkStart w:id="19" w:name="_Toc31105"/>
      <w:bookmarkStart w:id="20" w:name="_Toc3816"/>
      <w:r>
        <w:rPr>
          <w:rFonts w:hint="eastAsia" w:ascii="微软雅黑" w:hAnsi="微软雅黑" w:eastAsia="微软雅黑" w:cs="微软雅黑"/>
          <w:color w:val="000000" w:themeColor="text1"/>
          <w:sz w:val="24"/>
          <w:szCs w:val="24"/>
          <w14:textFill>
            <w14:solidFill>
              <w14:schemeClr w14:val="tx1"/>
            </w14:solidFill>
          </w14:textFill>
        </w:rPr>
        <w:t>医院自筹</w:t>
      </w:r>
      <w:bookmarkEnd w:id="18"/>
      <w:bookmarkEnd w:id="19"/>
      <w:bookmarkEnd w:id="20"/>
    </w:p>
    <w:p>
      <w:pPr>
        <w:pStyle w:val="4"/>
        <w:spacing w:line="240" w:lineRule="auto"/>
        <w:rPr>
          <w:rStyle w:val="70"/>
          <w:rFonts w:hint="eastAsia" w:ascii="微软雅黑" w:hAnsi="微软雅黑" w:eastAsia="微软雅黑" w:cs="微软雅黑"/>
          <w:b/>
          <w:color w:val="000000" w:themeColor="text1"/>
          <w:sz w:val="24"/>
          <w:szCs w:val="24"/>
          <w14:textFill>
            <w14:solidFill>
              <w14:schemeClr w14:val="tx1"/>
            </w14:solidFill>
          </w14:textFill>
        </w:rPr>
      </w:pPr>
      <w:bookmarkStart w:id="21" w:name="_Toc485108769"/>
      <w:bookmarkStart w:id="22" w:name="_Toc17269"/>
      <w:bookmarkStart w:id="23" w:name="_Toc22217"/>
      <w:r>
        <w:rPr>
          <w:rFonts w:hint="eastAsia" w:ascii="微软雅黑" w:hAnsi="微软雅黑" w:eastAsia="微软雅黑" w:cs="微软雅黑"/>
          <w:color w:val="000000" w:themeColor="text1"/>
          <w:sz w:val="24"/>
          <w:szCs w:val="24"/>
          <w14:textFill>
            <w14:solidFill>
              <w14:schemeClr w14:val="tx1"/>
            </w14:solidFill>
          </w14:textFill>
        </w:rPr>
        <w:t>三、</w:t>
      </w:r>
      <w:bookmarkEnd w:id="21"/>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22"/>
      <w:bookmarkEnd w:id="23"/>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（一）基本资格条件</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4.有依法缴纳税收和社会保障资金的良好记录；</w:t>
      </w:r>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5.参加政府采购活动前三年内，在经营活动中没有重大违法记录；</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6.法律、行政法规规定的其他条件。</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）特定资格条件</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有效的三证合一营业执照（范围中含金属制品安装）。</w:t>
      </w:r>
    </w:p>
    <w:bookmarkEnd w:id="9"/>
    <w:bookmarkEnd w:id="10"/>
    <w:p>
      <w:pPr>
        <w:ind w:firstLine="480" w:firstLineChars="200"/>
        <w:outlineLvl w:val="1"/>
        <w:rPr>
          <w:rFonts w:hint="eastAsia" w:ascii="微软雅黑" w:hAnsi="微软雅黑" w:eastAsia="微软雅黑" w:cs="微软雅黑"/>
          <w:color w:val="000000" w:themeColor="text1"/>
          <w:sz w:val="24"/>
          <w:szCs w:val="24"/>
          <w14:textFill>
            <w14:solidFill>
              <w14:schemeClr w14:val="tx1"/>
            </w14:solidFill>
          </w14:textFill>
        </w:rPr>
      </w:pPr>
      <w:bookmarkStart w:id="24" w:name="_Toc687"/>
      <w:bookmarkStart w:id="25" w:name="_Toc6"/>
      <w:bookmarkStart w:id="26" w:name="_Toc16128"/>
      <w:bookmarkStart w:id="27" w:name="_Toc485108774"/>
      <w:bookmarkStart w:id="28" w:name="_Toc102227313"/>
      <w:r>
        <w:rPr>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24"/>
      <w:bookmarkEnd w:id="25"/>
      <w:bookmarkEnd w:id="26"/>
      <w:r>
        <w:rPr>
          <w:rFonts w:hint="eastAsia" w:ascii="微软雅黑" w:hAnsi="微软雅黑" w:eastAsia="微软雅黑" w:cs="微软雅黑"/>
          <w:color w:val="000000" w:themeColor="text1"/>
          <w:sz w:val="24"/>
          <w:szCs w:val="24"/>
          <w14:textFill>
            <w14:solidFill>
              <w14:schemeClr w14:val="tx1"/>
            </w14:solidFill>
          </w14:textFill>
        </w:rPr>
        <w:tab/>
      </w:r>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（一）凡有意参加比选的供应商，请在</w:t>
      </w:r>
      <w:r>
        <w:rPr>
          <w:rFonts w:hint="eastAsia" w:ascii="微软雅黑" w:hAnsi="微软雅黑" w:eastAsia="微软雅黑" w:cs="微软雅黑"/>
          <w:color w:val="000000" w:themeColor="text1"/>
          <w:sz w:val="24"/>
          <w:szCs w:val="24"/>
          <w:lang w:eastAsia="zh-CN"/>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（二）比选公告期限：自采购公告发布之日（202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18</w:t>
      </w:r>
      <w:r>
        <w:rPr>
          <w:rFonts w:hint="eastAsia" w:ascii="微软雅黑" w:hAnsi="微软雅黑" w:eastAsia="微软雅黑" w:cs="微软雅黑"/>
          <w:color w:val="000000" w:themeColor="text1"/>
          <w:sz w:val="24"/>
          <w:szCs w:val="24"/>
          <w14:textFill>
            <w14:solidFill>
              <w14:schemeClr w14:val="tx1"/>
            </w14:solidFill>
          </w14:textFill>
        </w:rPr>
        <w:t>日）起三个工作日。</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（三）报名方式</w:t>
      </w:r>
    </w:p>
    <w:p>
      <w:pPr>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凡有意参加的供应商，请于202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18</w:t>
      </w:r>
      <w:r>
        <w:rPr>
          <w:rFonts w:hint="eastAsia" w:ascii="微软雅黑" w:hAnsi="微软雅黑" w:eastAsia="微软雅黑" w:cs="微软雅黑"/>
          <w:color w:val="000000" w:themeColor="text1"/>
          <w:sz w:val="24"/>
          <w:szCs w:val="24"/>
          <w14:textFill>
            <w14:solidFill>
              <w14:schemeClr w14:val="tx1"/>
            </w14:solidFill>
          </w14:textFill>
        </w:rPr>
        <w:t>日</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16</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3</w:t>
      </w:r>
      <w:r>
        <w:rPr>
          <w:rFonts w:hint="eastAsia" w:ascii="微软雅黑" w:hAnsi="微软雅黑" w:eastAsia="微软雅黑" w:cs="微软雅黑"/>
          <w:color w:val="000000" w:themeColor="text1"/>
          <w:sz w:val="24"/>
          <w:szCs w:val="24"/>
          <w14:textFill>
            <w14:solidFill>
              <w14:schemeClr w14:val="tx1"/>
            </w14:solidFill>
          </w14:textFill>
        </w:rPr>
        <w:t>0时至202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23</w:t>
      </w:r>
      <w:r>
        <w:rPr>
          <w:rFonts w:hint="eastAsia" w:ascii="微软雅黑" w:hAnsi="微软雅黑" w:eastAsia="微软雅黑" w:cs="微软雅黑"/>
          <w:color w:val="000000" w:themeColor="text1"/>
          <w:sz w:val="24"/>
          <w:szCs w:val="24"/>
          <w14:textFill>
            <w14:solidFill>
              <w14:schemeClr w14:val="tx1"/>
            </w14:solidFill>
          </w14:textFill>
        </w:rPr>
        <w:t>日</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16</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3</w:t>
      </w:r>
      <w:r>
        <w:rPr>
          <w:rFonts w:hint="eastAsia" w:ascii="微软雅黑" w:hAnsi="微软雅黑" w:eastAsia="微软雅黑" w:cs="微软雅黑"/>
          <w:color w:val="000000" w:themeColor="text1"/>
          <w:sz w:val="24"/>
          <w:szCs w:val="24"/>
          <w14:textFill>
            <w14:solidFill>
              <w14:schemeClr w14:val="tx1"/>
            </w14:solidFill>
          </w14:textFill>
        </w:rPr>
        <w:t>0时（法定公休日、法定节假日除外）线上报名。</w:t>
      </w:r>
    </w:p>
    <w:p>
      <w:pPr>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线上报名方式：</w:t>
      </w:r>
      <w:r>
        <w:rPr>
          <w:rFonts w:hint="eastAsia" w:ascii="微软雅黑" w:hAnsi="微软雅黑" w:eastAsia="微软雅黑" w:cs="微软雅黑"/>
          <w:color w:val="000000" w:themeColor="text1"/>
          <w14:textFill>
            <w14:solidFill>
              <w14:schemeClr w14:val="tx1"/>
            </w14:solidFill>
          </w14:textFill>
        </w:rPr>
        <w:fldChar w:fldCharType="begin"/>
      </w:r>
      <w:r>
        <w:rPr>
          <w:rFonts w:hint="eastAsia" w:ascii="微软雅黑" w:hAnsi="微软雅黑" w:eastAsia="微软雅黑" w:cs="微软雅黑"/>
          <w:color w:val="000000" w:themeColor="text1"/>
          <w14:textFill>
            <w14:solidFill>
              <w14:schemeClr w14:val="tx1"/>
            </w14:solidFill>
          </w14:textFill>
        </w:rP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rPr>
          <w:rFonts w:hint="eastAsia" w:ascii="微软雅黑" w:hAnsi="微软雅黑" w:eastAsia="微软雅黑" w:cs="微软雅黑"/>
          <w:color w:val="000000" w:themeColor="text1"/>
          <w14:textFill>
            <w14:solidFill>
              <w14:schemeClr w14:val="tx1"/>
            </w14:solidFill>
          </w14:textFill>
        </w:rPr>
        <w:fldChar w:fldCharType="separate"/>
      </w:r>
      <w:r>
        <w:rPr>
          <w:rFonts w:hint="eastAsia" w:ascii="微软雅黑" w:hAnsi="微软雅黑" w:eastAsia="微软雅黑" w:cs="微软雅黑"/>
          <w:color w:val="000000" w:themeColor="text1"/>
          <w:sz w:val="24"/>
          <w:szCs w:val="24"/>
          <w14:textFill>
            <w14:solidFill>
              <w14:schemeClr w14:val="tx1"/>
            </w14:solidFill>
          </w14:textFill>
        </w:rPr>
        <w:t>请务必将参与比选文件的采购项目名称及采购项目编号、供应商名称、联系人名称及联系方式、电子邮箱等注明，响应供应商一般资质和特定资格要求扫描后（加盖供应商公章）在报名截止时间前发送到邮箱cgb85385105@163.com。</w:t>
      </w:r>
      <w:r>
        <w:rPr>
          <w:rFonts w:hint="eastAsia" w:ascii="微软雅黑" w:hAnsi="微软雅黑" w:eastAsia="微软雅黑" w:cs="微软雅黑"/>
          <w:color w:val="000000" w:themeColor="text1"/>
          <w:sz w:val="24"/>
          <w:szCs w:val="24"/>
          <w14:textFill>
            <w14:solidFill>
              <w14:schemeClr w14:val="tx1"/>
            </w14:solidFill>
          </w14:textFill>
        </w:rPr>
        <w:fldChar w:fldCharType="end"/>
      </w:r>
    </w:p>
    <w:p>
      <w:pPr>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微软雅黑" w:hAnsi="微软雅黑" w:eastAsia="微软雅黑" w:cs="微软雅黑"/>
          <w:color w:val="000000" w:themeColor="text1"/>
          <w:sz w:val="28"/>
          <w:szCs w:val="28"/>
          <w14:textFill>
            <w14:solidFill>
              <w14:schemeClr w14:val="tx1"/>
            </w14:solidFill>
          </w14:textFill>
        </w:rPr>
        <w:t>。</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（四）供应商须满足以下二种要件，其响应文件才被接受：</w:t>
      </w:r>
    </w:p>
    <w:p>
      <w:pPr>
        <w:spacing w:line="380" w:lineRule="exact"/>
        <w:ind w:firstLine="720" w:firstLineChars="3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1、按时递交了响应文件（重庆医科大学附属永川医院综合楼</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4</w:t>
      </w:r>
      <w:r>
        <w:rPr>
          <w:rFonts w:hint="eastAsia" w:ascii="微软雅黑" w:hAnsi="微软雅黑" w:eastAsia="微软雅黑" w:cs="微软雅黑"/>
          <w:color w:val="000000" w:themeColor="text1"/>
          <w:sz w:val="24"/>
          <w:szCs w:val="24"/>
          <w14:textFill>
            <w14:solidFill>
              <w14:schemeClr w14:val="tx1"/>
            </w14:solidFill>
          </w14:textFill>
        </w:rPr>
        <w:t>楼会议室）；</w:t>
      </w:r>
    </w:p>
    <w:p>
      <w:pPr>
        <w:spacing w:line="400" w:lineRule="exact"/>
        <w:ind w:left="10" w:leftChars="5" w:firstLine="720" w:firstLineChars="3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2、按时线上报名。</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如响应供应商不满足三家，将进行第二次挂网。</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（五）比选地点：重庆医科大学附属永川医院综合楼</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4</w:t>
      </w:r>
      <w:r>
        <w:rPr>
          <w:rFonts w:hint="eastAsia" w:ascii="微软雅黑" w:hAnsi="微软雅黑" w:eastAsia="微软雅黑" w:cs="微软雅黑"/>
          <w:color w:val="000000" w:themeColor="text1"/>
          <w:sz w:val="24"/>
          <w:szCs w:val="24"/>
          <w14:textFill>
            <w14:solidFill>
              <w14:schemeClr w14:val="tx1"/>
            </w14:solidFill>
          </w14:textFill>
        </w:rPr>
        <w:t>楼会议室（地址：重庆市永川区萱花路439号）</w:t>
      </w:r>
    </w:p>
    <w:p>
      <w:pPr>
        <w:spacing w:line="400" w:lineRule="exact"/>
        <w:ind w:left="10" w:leftChars="5"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（六）响应文件递交开始时间：202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24</w:t>
      </w:r>
      <w:r>
        <w:rPr>
          <w:rFonts w:hint="eastAsia" w:ascii="微软雅黑" w:hAnsi="微软雅黑" w:eastAsia="微软雅黑" w:cs="微软雅黑"/>
          <w:color w:val="000000" w:themeColor="text1"/>
          <w:sz w:val="24"/>
          <w:szCs w:val="24"/>
          <w14:textFill>
            <w14:solidFill>
              <w14:schemeClr w14:val="tx1"/>
            </w14:solidFill>
          </w14:textFill>
        </w:rPr>
        <w:t>日北京时间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4</w:t>
      </w:r>
      <w:r>
        <w:rPr>
          <w:rFonts w:hint="eastAsia" w:ascii="微软雅黑" w:hAnsi="微软雅黑" w:eastAsia="微软雅黑" w:cs="微软雅黑"/>
          <w:color w:val="000000" w:themeColor="text1"/>
          <w:sz w:val="24"/>
          <w:szCs w:val="24"/>
          <w14:textFill>
            <w14:solidFill>
              <w14:schemeClr w14:val="tx1"/>
            </w14:solidFill>
          </w14:textFill>
        </w:rPr>
        <w:t>0</w:t>
      </w:r>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w:t>
      </w:r>
      <w:bookmarkStart w:id="29" w:name="_Toc26538"/>
      <w:r>
        <w:rPr>
          <w:rFonts w:hint="eastAsia" w:ascii="微软雅黑" w:hAnsi="微软雅黑" w:eastAsia="微软雅黑" w:cs="微软雅黑"/>
          <w:color w:val="000000" w:themeColor="text1"/>
          <w:sz w:val="24"/>
          <w:szCs w:val="24"/>
          <w14:textFill>
            <w14:solidFill>
              <w14:schemeClr w14:val="tx1"/>
            </w14:solidFill>
          </w14:textFill>
        </w:rPr>
        <w:t>（七）响应文件递交截止时间：202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24</w:t>
      </w:r>
      <w:r>
        <w:rPr>
          <w:rFonts w:hint="eastAsia" w:ascii="微软雅黑" w:hAnsi="微软雅黑" w:eastAsia="微软雅黑" w:cs="微软雅黑"/>
          <w:color w:val="000000" w:themeColor="text1"/>
          <w:sz w:val="24"/>
          <w:szCs w:val="24"/>
          <w14:textFill>
            <w14:solidFill>
              <w14:schemeClr w14:val="tx1"/>
            </w14:solidFill>
          </w14:textFill>
        </w:rPr>
        <w:t>日北京时间</w:t>
      </w:r>
      <w:bookmarkEnd w:id="29"/>
      <w:r>
        <w:rPr>
          <w:rFonts w:hint="eastAsia" w:ascii="微软雅黑" w:hAnsi="微软雅黑" w:eastAsia="微软雅黑" w:cs="微软雅黑"/>
          <w:color w:val="000000" w:themeColor="text1"/>
          <w:sz w:val="24"/>
          <w:szCs w:val="24"/>
          <w:lang w:val="en-US" w:eastAsia="zh-CN"/>
          <w14:textFill>
            <w14:solidFill>
              <w14:schemeClr w14:val="tx1"/>
            </w14:solidFill>
          </w14:textFill>
        </w:rPr>
        <w:t>9:0</w:t>
      </w:r>
      <w:r>
        <w:rPr>
          <w:rFonts w:hint="eastAsia" w:ascii="微软雅黑" w:hAnsi="微软雅黑" w:eastAsia="微软雅黑" w:cs="微软雅黑"/>
          <w:color w:val="000000" w:themeColor="text1"/>
          <w:sz w:val="24"/>
          <w:szCs w:val="24"/>
          <w14:textFill>
            <w14:solidFill>
              <w14:schemeClr w14:val="tx1"/>
            </w14:solidFill>
          </w14:textFill>
        </w:rPr>
        <w:t>0</w:t>
      </w:r>
    </w:p>
    <w:p>
      <w:pPr>
        <w:ind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w:t>
      </w:r>
      <w:bookmarkStart w:id="30" w:name="_Toc7033"/>
      <w:r>
        <w:rPr>
          <w:rFonts w:hint="eastAsia" w:ascii="微软雅黑" w:hAnsi="微软雅黑" w:eastAsia="微软雅黑" w:cs="微软雅黑"/>
          <w:color w:val="000000" w:themeColor="text1"/>
          <w:sz w:val="24"/>
          <w:szCs w:val="24"/>
          <w14:textFill>
            <w14:solidFill>
              <w14:schemeClr w14:val="tx1"/>
            </w14:solidFill>
          </w14:textFill>
        </w:rPr>
        <w:t>（八）比选开始时间：202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24</w:t>
      </w:r>
      <w:r>
        <w:rPr>
          <w:rFonts w:hint="eastAsia" w:ascii="微软雅黑" w:hAnsi="微软雅黑" w:eastAsia="微软雅黑" w:cs="微软雅黑"/>
          <w:color w:val="000000" w:themeColor="text1"/>
          <w:sz w:val="24"/>
          <w:szCs w:val="24"/>
          <w14:textFill>
            <w14:solidFill>
              <w14:schemeClr w14:val="tx1"/>
            </w14:solidFill>
          </w14:textFill>
        </w:rPr>
        <w:t>日北京时间</w:t>
      </w:r>
      <w:bookmarkEnd w:id="30"/>
      <w:r>
        <w:rPr>
          <w:rFonts w:hint="eastAsia" w:ascii="微软雅黑" w:hAnsi="微软雅黑" w:eastAsia="微软雅黑" w:cs="微软雅黑"/>
          <w:color w:val="000000" w:themeColor="text1"/>
          <w:sz w:val="24"/>
          <w:szCs w:val="24"/>
          <w:lang w:val="en-US" w:eastAsia="zh-CN"/>
          <w14:textFill>
            <w14:solidFill>
              <w14:schemeClr w14:val="tx1"/>
            </w14:solidFill>
          </w14:textFill>
        </w:rPr>
        <w:t>9</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0</w:t>
      </w:r>
      <w:r>
        <w:rPr>
          <w:rFonts w:hint="eastAsia" w:ascii="微软雅黑" w:hAnsi="微软雅黑" w:eastAsia="微软雅黑" w:cs="微软雅黑"/>
          <w:color w:val="000000" w:themeColor="text1"/>
          <w:sz w:val="24"/>
          <w:szCs w:val="24"/>
          <w14:textFill>
            <w14:solidFill>
              <w14:schemeClr w14:val="tx1"/>
            </w14:solidFill>
          </w14:textFill>
        </w:rPr>
        <w:t>0</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p>
    <w:p>
      <w:pPr>
        <w:pStyle w:val="4"/>
        <w:bidi w:val="0"/>
        <w:rPr>
          <w:rFonts w:hint="eastAsia" w:ascii="微软雅黑" w:hAnsi="微软雅黑" w:eastAsia="微软雅黑" w:cs="微软雅黑"/>
          <w:color w:val="000000" w:themeColor="text1"/>
          <w:sz w:val="24"/>
          <w:szCs w:val="24"/>
          <w14:textFill>
            <w14:solidFill>
              <w14:schemeClr w14:val="tx1"/>
            </w14:solidFill>
          </w14:textFill>
        </w:rPr>
      </w:pPr>
      <w:bookmarkStart w:id="31" w:name="_Toc16644"/>
      <w:bookmarkStart w:id="32" w:name="_Toc10405"/>
      <w:r>
        <w:rPr>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End w:id="31"/>
      <w:bookmarkEnd w:id="32"/>
      <w:bookmarkStart w:id="33" w:name="_Toc54171062"/>
      <w:bookmarkStart w:id="34" w:name="_Toc54718176"/>
      <w:bookmarkStart w:id="35" w:name="_Toc373860294"/>
    </w:p>
    <w:bookmarkEnd w:id="33"/>
    <w:bookmarkEnd w:id="34"/>
    <w:bookmarkEnd w:id="35"/>
    <w:p>
      <w:pPr>
        <w:pStyle w:val="4"/>
        <w:bidi w:val="0"/>
        <w:rPr>
          <w:rFonts w:hint="eastAsia" w:ascii="微软雅黑" w:hAnsi="微软雅黑" w:eastAsia="微软雅黑" w:cs="微软雅黑"/>
          <w:color w:val="000000" w:themeColor="text1"/>
          <w:sz w:val="24"/>
          <w:szCs w:val="24"/>
          <w14:textFill>
            <w14:solidFill>
              <w14:schemeClr w14:val="tx1"/>
            </w14:solidFill>
          </w14:textFill>
        </w:rPr>
      </w:pPr>
      <w:bookmarkStart w:id="36" w:name="_Toc4333"/>
      <w:bookmarkStart w:id="37" w:name="_Toc21188"/>
      <w:bookmarkStart w:id="38" w:name="_Toc1625"/>
      <w:r>
        <w:rPr>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36"/>
      <w:bookmarkEnd w:id="37"/>
      <w:bookmarkEnd w:id="38"/>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（一）单位负责人为同一人或者存在直接控股、管理关系的不同供应商，不得参加同一合同项（分包）下的政府采购活动，否则均为无效比选。</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（二）为采购项目提供整体设计、规范编制或者项目管理、监理、检测等服务的供应商，不得再参加该采购项目的其他采购活动。</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（三）同一合同项（分包）下为单一品目的货物采购中， 同一品牌同一型号产品有多家供应商参加比选，只能按照一家供应商计算。</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（四）同一合同项（分包）下的货物，制造商参与比选的，不得再委托代理商参与比选。</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微软雅黑" w:hAnsi="微软雅黑" w:eastAsia="微软雅黑" w:cs="微软雅黑"/>
          <w:color w:val="000000" w:themeColor="text1"/>
          <w:sz w:val="24"/>
          <w:szCs w:val="24"/>
          <w:lang w:eastAsia="zh-CN"/>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（六）未线上报名的，其响应文件恕不接收，超过响应文件截止时间递交的响应文件，恕不接收。</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9" w:name="_Toc27540"/>
      <w:bookmarkStart w:id="40" w:name="_Toc96605950"/>
      <w:bookmarkStart w:id="41" w:name="_Toc19843"/>
      <w:r>
        <w:rPr>
          <w:rFonts w:hint="eastAsia" w:ascii="微软雅黑" w:hAnsi="微软雅黑" w:eastAsia="微软雅黑" w:cs="微软雅黑"/>
          <w:color w:val="000000" w:themeColor="text1"/>
          <w:sz w:val="24"/>
          <w:szCs w:val="24"/>
          <w14:textFill>
            <w14:solidFill>
              <w14:schemeClr w14:val="tx1"/>
            </w14:solidFill>
          </w14:textFill>
        </w:rPr>
        <w:t>七、防疫要求</w:t>
      </w:r>
      <w:bookmarkEnd w:id="39"/>
      <w:bookmarkEnd w:id="40"/>
      <w:bookmarkEnd w:id="41"/>
    </w:p>
    <w:p>
      <w:pPr>
        <w:snapToGrid w:val="0"/>
        <w:ind w:firstLine="566" w:firstLineChars="236"/>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关于加强交易现场疫情防控工作的通知</w:t>
      </w:r>
    </w:p>
    <w:p>
      <w:pPr>
        <w:snapToGrid w:val="0"/>
        <w:ind w:firstLine="566" w:firstLineChars="236"/>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按照永川区政府关于当前疫情防控相关工作要求，重庆医科大学附属永川医院将加强现场疫情防控管理，现通知如下：</w:t>
      </w:r>
    </w:p>
    <w:p>
      <w:pPr>
        <w:snapToGrid w:val="0"/>
        <w:ind w:firstLine="566" w:firstLineChars="236"/>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（二）所有来自或途径中（高）风险区所在城市的来永返永人员，需持48小时内核酸检测阴性证明。若无法提供的，将不能进入医院，产生的一切后果自负。</w:t>
      </w:r>
    </w:p>
    <w:p>
      <w:pPr>
        <w:snapToGrid w:val="0"/>
        <w:ind w:firstLine="566" w:firstLineChars="236"/>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（三）请各进入医院人员和单位务必提前详细了解我区疫情防控具体要求，若不符合防控要求，将不能入场参与交易活动，请自行评估后果，合理安排人员参与相关活动。</w:t>
      </w:r>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（四）由于区域疫情防控政策动态调整，请及时关注最新政策发布情况。如不清楚防控要求，请于采购前致电重庆医科大学附属永川医院采购办询问，咨询电话：85385105</w:t>
      </w:r>
      <w:bookmarkStart w:id="42" w:name="_Toc31390"/>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3" w:name="_Toc23052"/>
      <w:bookmarkStart w:id="44" w:name="_Toc18501"/>
      <w:r>
        <w:rPr>
          <w:rFonts w:hint="eastAsia" w:ascii="微软雅黑" w:hAnsi="微软雅黑" w:eastAsia="微软雅黑" w:cs="微软雅黑"/>
          <w:color w:val="000000" w:themeColor="text1"/>
          <w:sz w:val="24"/>
          <w:szCs w:val="24"/>
          <w14:textFill>
            <w14:solidFill>
              <w14:schemeClr w14:val="tx1"/>
            </w14:solidFill>
          </w14:textFill>
        </w:rPr>
        <w:t>八、联系方式</w:t>
      </w:r>
      <w:bookmarkEnd w:id="42"/>
      <w:bookmarkEnd w:id="43"/>
      <w:bookmarkEnd w:id="44"/>
    </w:p>
    <w:bookmarkEnd w:id="27"/>
    <w:bookmarkEnd w:id="28"/>
    <w:p>
      <w:pPr>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bookmarkStart w:id="45" w:name="_Toc31093"/>
      <w:r>
        <w:rPr>
          <w:rFonts w:hint="eastAsia" w:ascii="微软雅黑" w:hAnsi="微软雅黑" w:eastAsia="微软雅黑" w:cs="微软雅黑"/>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联系人：</w:t>
      </w:r>
      <w:r>
        <w:rPr>
          <w:rFonts w:hint="eastAsia" w:ascii="微软雅黑" w:hAnsi="微软雅黑" w:eastAsia="微软雅黑" w:cs="微软雅黑"/>
          <w:color w:val="000000" w:themeColor="text1"/>
          <w:sz w:val="24"/>
          <w:szCs w:val="24"/>
          <w:lang w:eastAsia="zh-CN"/>
          <w14:textFill>
            <w14:solidFill>
              <w14:schemeClr w14:val="tx1"/>
            </w14:solidFill>
          </w14:textFill>
        </w:rPr>
        <w:t>潘</w:t>
      </w:r>
      <w:r>
        <w:rPr>
          <w:rFonts w:hint="eastAsia" w:ascii="微软雅黑" w:hAnsi="微软雅黑" w:eastAsia="微软雅黑" w:cs="微软雅黑"/>
          <w:color w:val="000000" w:themeColor="text1"/>
          <w:sz w:val="24"/>
          <w:szCs w:val="24"/>
          <w14:textFill>
            <w14:solidFill>
              <w14:schemeClr w14:val="tx1"/>
            </w14:solidFill>
          </w14:textFill>
        </w:rPr>
        <w:t>老师</w:t>
      </w:r>
    </w:p>
    <w:p>
      <w:pPr>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电  话：（023）85385105  </w:t>
      </w:r>
    </w:p>
    <w:p>
      <w:pPr>
        <w:ind w:firstLine="480" w:firstLineChars="200"/>
        <w:jc w:val="left"/>
        <w:rPr>
          <w:rFonts w:hint="eastAsia" w:ascii="微软雅黑" w:hAnsi="微软雅黑" w:eastAsia="微软雅黑" w:cs="微软雅黑"/>
          <w:b/>
          <w:color w:val="000000" w:themeColor="text1"/>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地  址： 重庆市永川区萱花路439号</w:t>
      </w:r>
      <w:bookmarkEnd w:id="45"/>
    </w:p>
    <w:p>
      <w:pPr>
        <w:rPr>
          <w:rFonts w:hint="eastAsia" w:ascii="微软雅黑" w:hAnsi="微软雅黑" w:eastAsia="微软雅黑" w:cs="微软雅黑"/>
          <w:color w:val="000000" w:themeColor="text1"/>
          <w14:textFill>
            <w14:solidFill>
              <w14:schemeClr w14:val="tx1"/>
            </w14:solidFill>
          </w14:textFill>
        </w:rPr>
      </w:pPr>
    </w:p>
    <w:p>
      <w:pPr>
        <w:pStyle w:val="3"/>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851" w:footer="992" w:gutter="0"/>
          <w:cols w:space="720" w:num="1"/>
          <w:docGrid w:linePitch="380" w:charSpace="-5735"/>
        </w:sectPr>
      </w:pPr>
      <w:bookmarkStart w:id="46" w:name="_Toc10392"/>
      <w:bookmarkStart w:id="47" w:name="_Toc26147"/>
    </w:p>
    <w:p>
      <w:pPr>
        <w:pStyle w:val="3"/>
        <w:bidi w:val="0"/>
        <w:jc w:val="center"/>
        <w:rPr>
          <w:rFonts w:hint="eastAsia" w:ascii="微软雅黑" w:hAnsi="微软雅黑" w:eastAsia="微软雅黑" w:cs="微软雅黑"/>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46"/>
      <w:bookmarkEnd w:id="47"/>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48" w:name="_Toc17166"/>
      <w:bookmarkStart w:id="49" w:name="_Toc24842"/>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48"/>
      <w:bookmarkEnd w:id="49"/>
    </w:p>
    <w:p>
      <w:pPr>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14:textFill>
            <w14:solidFill>
              <w14:schemeClr w14:val="tx1"/>
            </w14:solidFill>
          </w14:textFill>
        </w:rPr>
      </w:pPr>
      <w:bookmarkStart w:id="50" w:name="_Toc13733"/>
      <w:bookmarkStart w:id="51" w:name="_Toc9706"/>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50"/>
      <w:bookmarkEnd w:id="51"/>
      <w:r>
        <w:rPr>
          <w:rFonts w:hint="eastAsia" w:ascii="微软雅黑" w:hAnsi="微软雅黑" w:eastAsia="微软雅黑" w:cs="微软雅黑"/>
          <w:color w:val="000000" w:themeColor="text1"/>
          <w14:textFill>
            <w14:solidFill>
              <w14:schemeClr w14:val="tx1"/>
            </w14:solidFill>
          </w14:textFill>
        </w:rPr>
        <w:tab/>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（二）医院所作的一切有效的修改及补充，都是比选文件不可分割的部分。</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（三）比选文件的解释</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4"/>
        <w:pageBreakBefore w:val="0"/>
        <w:widowControl w:val="0"/>
        <w:kinsoku/>
        <w:wordWrap/>
        <w:overflowPunct/>
        <w:topLinePunct w:val="0"/>
        <w:autoSpaceDE/>
        <w:autoSpaceDN/>
        <w:bidi w:val="0"/>
        <w:adjustRightInd/>
        <w:snapToGri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52" w:name="_Toc16239"/>
      <w:bookmarkStart w:id="53" w:name="_Toc30952"/>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52"/>
      <w:bookmarkEnd w:id="53"/>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（一）响应文件</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1、响应文件组成</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2、本项目不接受联合体参与及合同分包、转包。</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（二）报价要求</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本工程为总价包干（包含但不限于人工费、材料费、机械费、保险费、税费等各项费用</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以及成交供应商人工工资、奖金、福利、社保、管理、交通、运输、利润、税金、风险费等在内的所有费用。因成交供应商自身原因造成漏报、少报皆由其自行承担责任，采购人不再补偿）。</w:t>
      </w:r>
      <w:r>
        <w:rPr>
          <w:rFonts w:hint="eastAsia" w:ascii="微软雅黑" w:hAnsi="微软雅黑" w:eastAsia="微软雅黑" w:cs="微软雅黑"/>
          <w:color w:val="000000" w:themeColor="text1"/>
          <w:sz w:val="24"/>
          <w:szCs w:val="24"/>
          <w:lang w:eastAsia="zh-CN"/>
          <w14:textFill>
            <w14:solidFill>
              <w14:schemeClr w14:val="tx1"/>
            </w14:solidFill>
          </w14:textFill>
        </w:rPr>
        <w:t>响应</w:t>
      </w:r>
      <w:r>
        <w:rPr>
          <w:rFonts w:hint="eastAsia" w:ascii="微软雅黑" w:hAnsi="微软雅黑" w:eastAsia="微软雅黑" w:cs="微软雅黑"/>
          <w:color w:val="000000" w:themeColor="text1"/>
          <w:sz w:val="24"/>
          <w:szCs w:val="24"/>
          <w14:textFill>
            <w14:solidFill>
              <w14:schemeClr w14:val="tx1"/>
            </w14:solidFill>
          </w14:textFill>
        </w:rPr>
        <w:t>人报价应充分考虑完成本工程的各种因素并满足采购方使用要求。报价表见附件。</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（三）修正错误</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1.响应文件一式</w:t>
      </w:r>
      <w:r>
        <w:rPr>
          <w:rFonts w:hint="eastAsia" w:ascii="微软雅黑" w:hAnsi="微软雅黑" w:eastAsia="微软雅黑" w:cs="微软雅黑"/>
          <w:color w:val="000000" w:themeColor="text1"/>
          <w:sz w:val="24"/>
          <w:szCs w:val="24"/>
          <w:lang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w:t>
      </w:r>
      <w:r>
        <w:rPr>
          <w:rFonts w:hint="eastAsia" w:ascii="微软雅黑" w:hAnsi="微软雅黑" w:eastAsia="微软雅黑" w:cs="微软雅黑"/>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hint="eastAsia" w:ascii="微软雅黑" w:hAnsi="微软雅黑" w:eastAsia="微软雅黑" w:cs="微软雅黑"/>
          <w:strike/>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 邮寄、电报、电话、传真形式的响应文件概不接受。</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54" w:name="OLE_LINK3"/>
      <w:bookmarkStart w:id="55" w:name="OLE_LINK9"/>
      <w:bookmarkStart w:id="56" w:name="OLE_LINK8"/>
      <w:r>
        <w:rPr>
          <w:rFonts w:hint="eastAsia" w:ascii="微软雅黑" w:hAnsi="微软雅黑" w:eastAsia="微软雅黑" w:cs="微软雅黑"/>
          <w:color w:val="000000" w:themeColor="text1"/>
          <w:sz w:val="24"/>
          <w:szCs w:val="24"/>
          <w14:textFill>
            <w14:solidFill>
              <w14:schemeClr w14:val="tx1"/>
            </w14:solidFill>
          </w14:textFill>
        </w:rPr>
        <w:t>1.响应文件的密封与标记</w:t>
      </w:r>
    </w:p>
    <w:p>
      <w:pPr>
        <w:spacing w:line="4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各个供应商可派1-2名代表参与比选，至少1人应为法定代表人或具有法定代表人授权委托书的授权代表。法定代表人或授权代表应随身携带本人身份证原件。</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（八）无效比选</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供应商发生以下条款情况之一者，视为无效比选，应为无效响应：</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1.不符合规定的基本资格条件或特定资格条件；</w:t>
      </w:r>
    </w:p>
    <w:p>
      <w:pPr>
        <w:snapToGrid w:val="0"/>
        <w:spacing w:line="400" w:lineRule="exac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2.法定代表人或其授权代表未参加比选；</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3.响应文件不按规定签字、盖章；</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供应商的报价超过采购货物总价限价或单价限价；</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供应商的最后报价超过采购预算；</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6.供应商响应文件内容有与国家现行法律法规相违背的内容，或附有采购人无法接受的条件。</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7</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单位负责人为同一人或者存在直接控股、管理关系的不同供应商，参加同一合同项下政府采购活动的；</w:t>
      </w:r>
    </w:p>
    <w:p>
      <w:pPr>
        <w:snapToGrid w:val="0"/>
        <w:spacing w:line="400" w:lineRule="exact"/>
        <w:ind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8</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9</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同一合同项下的货物，制造商参与比选的，再委托代理商参与比选的；</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10</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供应商以联合体形式参与比选的；</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11</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54"/>
    <w:bookmarkEnd w:id="55"/>
    <w:bookmarkEnd w:id="56"/>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7" w:name="_Toc403569780"/>
      <w:bookmarkStart w:id="58" w:name="_Toc18122"/>
      <w:bookmarkStart w:id="59" w:name="_Toc5097"/>
      <w:bookmarkStart w:id="60" w:name="_Toc18159"/>
      <w:bookmarkStart w:id="61" w:name="_Toc102227319"/>
      <w:bookmarkStart w:id="62" w:name="_Toc179714298"/>
      <w:bookmarkStart w:id="63" w:name="_Toc342913393"/>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57"/>
      <w:bookmarkEnd w:id="58"/>
      <w:bookmarkEnd w:id="59"/>
      <w:bookmarkEnd w:id="60"/>
      <w:bookmarkEnd w:id="61"/>
      <w:bookmarkEnd w:id="62"/>
      <w:bookmarkEnd w:id="63"/>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hint="eastAsia" w:ascii="微软雅黑" w:hAnsi="微软雅黑" w:eastAsia="微软雅黑" w:cs="微软雅黑"/>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（2）</w:t>
            </w:r>
            <w:r>
              <w:rPr>
                <w:rFonts w:hint="eastAsia" w:ascii="微软雅黑" w:hAnsi="微软雅黑" w:eastAsia="微软雅黑" w:cs="微软雅黑"/>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1.供应商提供2020或2021年度财务状况报告（表）或其基本开户银行出具的资信证明（提供复印件）。</w:t>
            </w:r>
          </w:p>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hint="eastAsia" w:ascii="微软雅黑" w:hAnsi="微软雅黑" w:eastAsia="微软雅黑" w:cs="微软雅黑"/>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hint="eastAsia" w:ascii="微软雅黑" w:hAnsi="微软雅黑" w:eastAsia="微软雅黑" w:cs="微软雅黑"/>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1.税务登记证（副本）（提供复印件）。</w:t>
            </w:r>
          </w:p>
          <w:p>
            <w:pPr>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hint="eastAsia" w:ascii="微软雅黑" w:hAnsi="微软雅黑" w:eastAsia="微软雅黑" w:cs="微软雅黑"/>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（5）参加采购活动前三年内，在经营活动中没有重大违法记录（注①）</w:t>
            </w:r>
          </w:p>
        </w:tc>
        <w:tc>
          <w:tcPr>
            <w:tcW w:w="4948" w:type="dxa"/>
            <w:vAlign w:val="center"/>
          </w:tcPr>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1.供应商提供书面声明（见格式文件）</w:t>
            </w:r>
          </w:p>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w:t>
            </w:r>
            <w:r>
              <w:rPr>
                <w:rFonts w:hint="eastAsia" w:ascii="微软雅黑" w:hAnsi="微软雅黑" w:eastAsia="微软雅黑" w:cs="微软雅黑"/>
                <w:b/>
                <w:color w:val="000000" w:themeColor="text1"/>
                <w:szCs w:val="21"/>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hint="eastAsia" w:ascii="微软雅黑" w:hAnsi="微软雅黑" w:eastAsia="微软雅黑" w:cs="微软雅黑"/>
                <w:color w:val="000000" w:themeColor="text1"/>
                <w:szCs w:val="21"/>
                <w14:textFill>
                  <w14:solidFill>
                    <w14:schemeClr w14:val="tx1"/>
                  </w14:solidFill>
                </w14:textFill>
              </w:rPr>
            </w:pPr>
          </w:p>
        </w:tc>
        <w:tc>
          <w:tcPr>
            <w:tcW w:w="2825" w:type="dxa"/>
            <w:vAlign w:val="center"/>
          </w:tcPr>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按“第一篇三、</w:t>
            </w:r>
            <w:r>
              <w:rPr>
                <w:rFonts w:hint="eastAsia" w:ascii="微软雅黑" w:hAnsi="微软雅黑" w:eastAsia="微软雅黑" w:cs="微软雅黑"/>
                <w:color w:val="000000" w:themeColor="text1"/>
                <w:sz w:val="24"/>
                <w:szCs w:val="24"/>
                <w14:textFill>
                  <w14:solidFill>
                    <w14:schemeClr w14:val="tx1"/>
                  </w14:solidFill>
                </w14:textFill>
              </w:rPr>
              <w:t>供应商资格要求</w:t>
            </w:r>
            <w:r>
              <w:rPr>
                <w:rFonts w:hint="eastAsia" w:ascii="微软雅黑" w:hAnsi="微软雅黑" w:eastAsia="微软雅黑" w:cs="微软雅黑"/>
                <w:color w:val="000000" w:themeColor="text1"/>
                <w:szCs w:val="21"/>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特定资格要求</w:t>
            </w:r>
            <w:r>
              <w:rPr>
                <w:rFonts w:hint="eastAsia" w:ascii="微软雅黑" w:hAnsi="微软雅黑" w:eastAsia="微软雅黑" w:cs="微软雅黑"/>
                <w:color w:val="000000" w:themeColor="text1"/>
                <w:szCs w:val="21"/>
                <w14:textFill>
                  <w14:solidFill>
                    <w14:schemeClr w14:val="tx1"/>
                  </w14:solidFill>
                </w14:textFill>
              </w:rPr>
              <w:t>的要求提交（如果有）。</w:t>
            </w:r>
          </w:p>
        </w:tc>
      </w:tr>
    </w:tbl>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注：</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②供应商应提供以下四张截图：信用中国--行政处罚；信用中国--失信惩戒；信用中国--重大税收违法案件当事人名单查询；中国政府采购网--政府采购严重违法失信行为信息记录（截图模板见第七篇后模板）。</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hint="eastAsia" w:ascii="微软雅黑" w:hAnsi="微软雅黑" w:eastAsia="微软雅黑" w:cs="微软雅黑"/>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hint="eastAsia" w:ascii="微软雅黑" w:hAnsi="微软雅黑" w:eastAsia="微软雅黑" w:cs="微软雅黑"/>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hint="eastAsia" w:ascii="微软雅黑" w:hAnsi="微软雅黑" w:eastAsia="微软雅黑" w:cs="微软雅黑"/>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只能在预算金额和最高限价内报价，</w:t>
            </w:r>
            <w:r>
              <w:rPr>
                <w:rFonts w:hint="eastAsia" w:ascii="微软雅黑" w:hAnsi="微软雅黑" w:eastAsia="微软雅黑" w:cs="微软雅黑"/>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（七）供应商在比选时作出的所有书面承诺须由法定代表人或其授权代表签字。</w:t>
      </w:r>
    </w:p>
    <w:p>
      <w:pPr>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已提交响应文件但未在规定时间内进行最后报价的供应商，视为放弃最后报价，以供应商响应文件中的报价为准。</w:t>
      </w:r>
    </w:p>
    <w:p>
      <w:pPr>
        <w:pStyle w:val="4"/>
        <w:pageBreakBefore w:val="0"/>
        <w:widowControl w:val="0"/>
        <w:kinsoku/>
        <w:wordWrap/>
        <w:overflowPunct/>
        <w:topLinePunct w:val="0"/>
        <w:autoSpaceDE/>
        <w:autoSpaceDN/>
        <w:bidi w:val="0"/>
        <w:adjustRightInd/>
        <w:snapToGri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13032"/>
      <w:bookmarkStart w:id="65" w:name="_Toc20165"/>
      <w:bookmarkStart w:id="66" w:name="_Toc28776"/>
      <w:bookmarkStart w:id="67" w:name="_Toc403569781"/>
      <w:bookmarkStart w:id="68" w:name="_Toc102227320"/>
      <w:bookmarkStart w:id="69"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64"/>
      <w:bookmarkEnd w:id="65"/>
      <w:bookmarkEnd w:id="66"/>
      <w:bookmarkEnd w:id="67"/>
    </w:p>
    <w:p>
      <w:pPr>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70" w:name="_Toc403569782"/>
      <w:bookmarkStart w:id="71" w:name="_Toc16918"/>
      <w:bookmarkStart w:id="72" w:name="_Toc29340"/>
      <w:bookmarkStart w:id="73" w:name="_Toc30070"/>
      <w:r>
        <w:rPr>
          <w:rFonts w:hint="eastAsia" w:ascii="微软雅黑" w:hAnsi="微软雅黑" w:eastAsia="微软雅黑" w:cs="微软雅黑"/>
          <w:color w:val="000000" w:themeColor="text1"/>
          <w:sz w:val="24"/>
          <w:szCs w:val="24"/>
          <w14:textFill>
            <w14:solidFill>
              <w14:schemeClr w14:val="tx1"/>
            </w14:solidFill>
          </w14:textFill>
        </w:rPr>
        <w:t>六、成交</w:t>
      </w:r>
      <w:bookmarkEnd w:id="68"/>
      <w:r>
        <w:rPr>
          <w:rFonts w:hint="eastAsia" w:ascii="微软雅黑" w:hAnsi="微软雅黑" w:eastAsia="微软雅黑" w:cs="微软雅黑"/>
          <w:color w:val="000000" w:themeColor="text1"/>
          <w:sz w:val="24"/>
          <w:szCs w:val="24"/>
          <w14:textFill>
            <w14:solidFill>
              <w14:schemeClr w14:val="tx1"/>
            </w14:solidFill>
          </w14:textFill>
        </w:rPr>
        <w:t>原则</w:t>
      </w:r>
      <w:bookmarkEnd w:id="69"/>
      <w:bookmarkEnd w:id="70"/>
      <w:bookmarkEnd w:id="71"/>
      <w:bookmarkEnd w:id="72"/>
      <w:bookmarkEnd w:id="73"/>
    </w:p>
    <w:p>
      <w:pPr>
        <w:pageBreakBefore w:val="0"/>
        <w:widowControl w:val="0"/>
        <w:kinsoku/>
        <w:wordWrap/>
        <w:overflowPunct/>
        <w:topLinePunct w:val="0"/>
        <w:autoSpaceDE/>
        <w:autoSpaceDN/>
        <w:bidi w:val="0"/>
        <w:adjustRightInd/>
        <w:snapToGrid w:val="0"/>
        <w:spacing w:line="39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（一）评审办法</w:t>
      </w:r>
    </w:p>
    <w:p>
      <w:pPr>
        <w:pageBreakBefore w:val="0"/>
        <w:widowControl w:val="0"/>
        <w:kinsoku/>
        <w:wordWrap/>
        <w:overflowPunct/>
        <w:topLinePunct w:val="0"/>
        <w:autoSpaceDE/>
        <w:autoSpaceDN/>
        <w:bidi w:val="0"/>
        <w:adjustRightInd/>
        <w:snapToGrid w:val="0"/>
        <w:spacing w:line="39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（二）评审细则：</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若同一合同项（分包）下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1" w:firstLineChars="167"/>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6.</w:t>
      </w:r>
      <w:r>
        <w:rPr>
          <w:rFonts w:hint="eastAsia" w:ascii="微软雅黑" w:hAnsi="微软雅黑" w:eastAsia="微软雅黑" w:cs="微软雅黑"/>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（2）出现影响采购公正的违法、违规行为的；</w:t>
      </w:r>
    </w:p>
    <w:p>
      <w:pPr>
        <w:pageBreakBefore w:val="0"/>
        <w:widowControl w:val="0"/>
        <w:kinsoku/>
        <w:wordWrap/>
        <w:overflowPunct/>
        <w:topLinePunct w:val="0"/>
        <w:autoSpaceDE/>
        <w:autoSpaceDN/>
        <w:bidi w:val="0"/>
        <w:adjustRightInd/>
        <w:snapToGrid w:val="0"/>
        <w:spacing w:line="390" w:lineRule="exact"/>
        <w:ind w:firstLine="360" w:firstLineChars="15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（3）在采购过程中符合竞争要求的供应商或者报价未超过采购预算的供应商不足3家的，但《医院采购管理办法（试行）》第二十三条第一款（五）规定的情形除外。。</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74" w:name="_Toc3212"/>
      <w:bookmarkStart w:id="75" w:name="_Toc403569783"/>
      <w:bookmarkStart w:id="76" w:name="_Toc15164"/>
      <w:bookmarkStart w:id="77" w:name="_Toc23417"/>
      <w:bookmarkStart w:id="78" w:name="_Toc102227321"/>
      <w:bookmarkStart w:id="79" w:name="_Toc342913395"/>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74"/>
      <w:bookmarkEnd w:id="75"/>
      <w:bookmarkEnd w:id="76"/>
      <w:bookmarkEnd w:id="77"/>
      <w:bookmarkEnd w:id="78"/>
      <w:bookmarkEnd w:id="79"/>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pageBreakBefore w:val="0"/>
        <w:widowControl w:val="0"/>
        <w:kinsoku/>
        <w:wordWrap/>
        <w:overflowPunct/>
        <w:topLinePunct w:val="0"/>
        <w:autoSpaceDE/>
        <w:autoSpaceDN/>
        <w:bidi w:val="0"/>
        <w:adjustRightInd/>
        <w:snapToGrid/>
        <w:spacing w:line="390" w:lineRule="exact"/>
        <w:ind w:firstLine="360" w:firstLineChars="150"/>
        <w:textAlignment w:val="auto"/>
        <w:outlineLvl w:val="2"/>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80" w:name="_Toc17413"/>
      <w:bookmarkStart w:id="81" w:name="_Toc403569784"/>
      <w:bookmarkStart w:id="82" w:name="_Toc7950"/>
      <w:bookmarkStart w:id="83" w:name="_Toc22589"/>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80"/>
      <w:bookmarkEnd w:id="81"/>
      <w:bookmarkEnd w:id="82"/>
      <w:bookmarkEnd w:id="83"/>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（三）投诉</w:t>
      </w:r>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84" w:name="_Toc102227322"/>
      <w:bookmarkStart w:id="85" w:name="_Toc6381"/>
      <w:bookmarkStart w:id="86" w:name="_Toc403569785"/>
      <w:bookmarkStart w:id="87" w:name="_Toc342913396"/>
      <w:r>
        <w:rPr>
          <w:rFonts w:hint="eastAsia" w:ascii="微软雅黑" w:hAnsi="微软雅黑" w:eastAsia="微软雅黑" w:cs="微软雅黑"/>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88" w:name="_Toc27671"/>
      <w:bookmarkStart w:id="89" w:name="_Toc28186"/>
      <w:r>
        <w:rPr>
          <w:rFonts w:hint="eastAsia" w:ascii="微软雅黑" w:hAnsi="微软雅黑" w:eastAsia="微软雅黑" w:cs="微软雅黑"/>
          <w:color w:val="000000" w:themeColor="text1"/>
          <w:sz w:val="24"/>
          <w:szCs w:val="24"/>
          <w14:textFill>
            <w14:solidFill>
              <w14:schemeClr w14:val="tx1"/>
            </w14:solidFill>
          </w14:textFill>
        </w:rPr>
        <w:t>九、签订</w:t>
      </w:r>
      <w:bookmarkEnd w:id="84"/>
      <w:r>
        <w:rPr>
          <w:rFonts w:hint="eastAsia" w:ascii="微软雅黑" w:hAnsi="微软雅黑" w:eastAsia="微软雅黑" w:cs="微软雅黑"/>
          <w:color w:val="000000" w:themeColor="text1"/>
          <w:sz w:val="24"/>
          <w:szCs w:val="24"/>
          <w14:textFill>
            <w14:solidFill>
              <w14:schemeClr w14:val="tx1"/>
            </w14:solidFill>
          </w14:textFill>
        </w:rPr>
        <w:t>合同</w:t>
      </w:r>
      <w:bookmarkEnd w:id="85"/>
      <w:bookmarkEnd w:id="86"/>
      <w:bookmarkEnd w:id="87"/>
      <w:bookmarkEnd w:id="88"/>
      <w:bookmarkEnd w:id="89"/>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90" w:name="_Toc4920"/>
      <w:bookmarkStart w:id="91" w:name="_Toc15659"/>
      <w:bookmarkStart w:id="92" w:name="_Toc29479"/>
      <w:bookmarkStart w:id="93" w:name="_Toc5037"/>
      <w:r>
        <w:rPr>
          <w:rFonts w:hint="eastAsia" w:ascii="微软雅黑" w:hAnsi="微软雅黑" w:eastAsia="微软雅黑" w:cs="微软雅黑"/>
          <w:color w:val="000000" w:themeColor="text1"/>
          <w:sz w:val="24"/>
          <w:szCs w:val="24"/>
          <w14:textFill>
            <w14:solidFill>
              <w14:schemeClr w14:val="tx1"/>
            </w14:solidFill>
          </w14:textFill>
        </w:rPr>
        <w:t>十、其他</w:t>
      </w:r>
      <w:bookmarkEnd w:id="90"/>
      <w:bookmarkEnd w:id="91"/>
      <w:bookmarkEnd w:id="92"/>
      <w:bookmarkEnd w:id="93"/>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p>
    <w:p>
      <w:pPr>
        <w:snapToGrid w:val="0"/>
        <w:spacing w:line="400" w:lineRule="exact"/>
        <w:jc w:val="left"/>
        <w:rPr>
          <w:rFonts w:hint="eastAsia" w:ascii="微软雅黑" w:hAnsi="微软雅黑" w:eastAsia="微软雅黑" w:cs="微软雅黑"/>
          <w:color w:val="000000" w:themeColor="text1"/>
          <w:sz w:val="24"/>
          <w:szCs w:val="24"/>
          <w14:textFill>
            <w14:solidFill>
              <w14:schemeClr w14:val="tx1"/>
            </w14:solidFill>
          </w14:textFill>
        </w:rPr>
      </w:pPr>
    </w:p>
    <w:p>
      <w:pPr>
        <w:spacing w:line="390" w:lineRule="exact"/>
        <w:rPr>
          <w:rFonts w:hint="eastAsia" w:ascii="微软雅黑" w:hAnsi="微软雅黑" w:eastAsia="微软雅黑" w:cs="微软雅黑"/>
          <w:b/>
          <w:color w:val="000000" w:themeColor="text1"/>
          <w:sz w:val="24"/>
          <w:szCs w:val="24"/>
          <w14:textFill>
            <w14:solidFill>
              <w14:schemeClr w14:val="tx1"/>
            </w14:solidFill>
          </w14:textFill>
        </w:rPr>
        <w:sectPr>
          <w:pgSz w:w="11907" w:h="16840"/>
          <w:pgMar w:top="1134" w:right="1191" w:bottom="1134" w:left="1304" w:header="851" w:footer="992" w:gutter="0"/>
          <w:cols w:space="720" w:num="1"/>
          <w:docGrid w:linePitch="380" w:charSpace="-5735"/>
        </w:sectPr>
      </w:pPr>
    </w:p>
    <w:p>
      <w:pPr>
        <w:pStyle w:val="3"/>
        <w:jc w:val="center"/>
        <w:rPr>
          <w:rFonts w:hint="eastAsia" w:ascii="微软雅黑" w:hAnsi="微软雅黑" w:eastAsia="微软雅黑" w:cs="微软雅黑"/>
          <w:b/>
          <w:color w:val="000000" w:themeColor="text1"/>
          <w:sz w:val="44"/>
          <w:szCs w:val="44"/>
          <w14:textFill>
            <w14:solidFill>
              <w14:schemeClr w14:val="tx1"/>
            </w14:solidFill>
          </w14:textFill>
        </w:rPr>
      </w:pPr>
      <w:bookmarkStart w:id="94" w:name="_Toc485108784"/>
      <w:bookmarkStart w:id="95" w:name="_Toc3632"/>
      <w:bookmarkStart w:id="96" w:name="_Toc18509"/>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94"/>
      <w:bookmarkEnd w:id="95"/>
      <w:bookmarkEnd w:id="96"/>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97" w:name="_Toc12789058"/>
      <w:r>
        <w:rPr>
          <w:rFonts w:hint="eastAsia" w:ascii="微软雅黑" w:hAnsi="微软雅黑" w:eastAsia="微软雅黑" w:cs="微软雅黑"/>
          <w:color w:val="000000" w:themeColor="text1"/>
          <w:sz w:val="24"/>
          <w:szCs w:val="24"/>
          <w:lang w:eastAsia="zh-CN"/>
          <w14:textFill>
            <w14:solidFill>
              <w14:schemeClr w14:val="tx1"/>
            </w14:solidFill>
          </w14:textFill>
        </w:rPr>
        <w:t>一</w:t>
      </w:r>
      <w:r>
        <w:rPr>
          <w:rFonts w:hint="eastAsia" w:ascii="微软雅黑" w:hAnsi="微软雅黑" w:eastAsia="微软雅黑" w:cs="微软雅黑"/>
          <w:color w:val="000000" w:themeColor="text1"/>
          <w:sz w:val="24"/>
          <w:szCs w:val="24"/>
          <w14:textFill>
            <w14:solidFill>
              <w14:schemeClr w14:val="tx1"/>
            </w14:solidFill>
          </w14:textFill>
        </w:rPr>
        <w:t>、项目名称：扶手安装服务</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二、服务需求</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1、项目内容：1号楼、2号楼大门外坡道安装不锈钢扶手，数量约31.9m，材质：304拉丝不锈钢，厚度1.5mm</w:t>
      </w:r>
      <w:r>
        <w:rPr>
          <w:rFonts w:hint="eastAsia" w:ascii="微软雅黑" w:hAnsi="微软雅黑" w:eastAsia="微软雅黑" w:cs="微软雅黑"/>
          <w:color w:val="000000" w:themeColor="text1"/>
          <w:sz w:val="24"/>
          <w:szCs w:val="24"/>
          <w:lang w:eastAsia="zh-CN"/>
          <w14:textFill>
            <w14:solidFill>
              <w14:schemeClr w14:val="tx1"/>
            </w14:solidFill>
          </w14:textFill>
        </w:rPr>
        <w:t>，直径</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50mm</w:t>
      </w:r>
      <w:r>
        <w:rPr>
          <w:rFonts w:hint="eastAsia" w:ascii="微软雅黑" w:hAnsi="微软雅黑" w:eastAsia="微软雅黑" w:cs="微软雅黑"/>
          <w:color w:val="000000" w:themeColor="text1"/>
          <w:sz w:val="24"/>
          <w:szCs w:val="24"/>
          <w14:textFill>
            <w14:solidFill>
              <w14:schemeClr w14:val="tx1"/>
            </w14:solidFill>
          </w14:textFill>
        </w:rPr>
        <w:t>，安装高度需满足国家规范。3号楼过道安装医用扶手，采用外皮材质pvc，内芯材质铝合金,数量约495.4m，规格140*44*1.8(mm)。</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2、基本要求：扶手安装须满足重庆市老年友善医疗机构创建复核标准。</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质量要求：本项目中所使用的各项材料须为正规厂家生产的全新合格产品，产品质量须符合国家相关行业的产品质量标准及要求，各项材料需出具产品合格证书及相应的出厂检测报告，检测报告必须真实有效且能够查询；</w:t>
      </w:r>
      <w:bookmarkStart w:id="235" w:name="_GoBack"/>
      <w:bookmarkEnd w:id="235"/>
      <w:r>
        <w:rPr>
          <w:rFonts w:hint="eastAsia" w:ascii="微软雅黑" w:hAnsi="微软雅黑" w:eastAsia="微软雅黑" w:cs="微软雅黑"/>
          <w:color w:val="000000" w:themeColor="text1"/>
          <w:sz w:val="24"/>
          <w:szCs w:val="24"/>
          <w14:textFill>
            <w14:solidFill>
              <w14:schemeClr w14:val="tx1"/>
            </w14:solidFill>
          </w14:textFill>
        </w:rPr>
        <w:t>材料到达施工现场需提供相应的供货清单；施工质量应达到国家相关规范、标准及要求。</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4、在施工过程中，</w:t>
      </w:r>
      <w:r>
        <w:rPr>
          <w:rFonts w:hint="eastAsia" w:ascii="微软雅黑" w:hAnsi="微软雅黑" w:eastAsia="微软雅黑" w:cs="微软雅黑"/>
          <w:color w:val="000000" w:themeColor="text1"/>
          <w:sz w:val="24"/>
          <w:szCs w:val="24"/>
          <w:lang w:eastAsia="zh-CN"/>
          <w14:textFill>
            <w14:solidFill>
              <w14:schemeClr w14:val="tx1"/>
            </w14:solidFill>
          </w14:textFill>
        </w:rPr>
        <w:t>响应</w:t>
      </w:r>
      <w:r>
        <w:rPr>
          <w:rFonts w:hint="eastAsia" w:ascii="微软雅黑" w:hAnsi="微软雅黑" w:eastAsia="微软雅黑" w:cs="微软雅黑"/>
          <w:color w:val="000000" w:themeColor="text1"/>
          <w:sz w:val="24"/>
          <w:szCs w:val="24"/>
          <w14:textFill>
            <w14:solidFill>
              <w14:schemeClr w14:val="tx1"/>
            </w14:solidFill>
          </w14:textFill>
        </w:rPr>
        <w:t>方应采取有效的安全措施，保证施工人员和其他人员的人身安全，并承担因安全事故导致的一切经济和法律责任。如有损坏财产须照价赔偿。并遵守安全文明施工。</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5、本项目完工后需做好各项售后服务。</w:t>
      </w:r>
    </w:p>
    <w:p>
      <w:pPr>
        <w:pStyle w:val="2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三、样品递交：响应人提供颜色图样或样品到场。</w:t>
      </w:r>
    </w:p>
    <w:p>
      <w:pPr>
        <w:pStyle w:val="23"/>
        <w:rPr>
          <w:rFonts w:hint="eastAsia" w:eastAsia="微软雅黑"/>
          <w:lang w:eastAsia="zh-CN"/>
        </w:rPr>
      </w:pPr>
    </w:p>
    <w:p>
      <w:pPr>
        <w:spacing w:line="400" w:lineRule="exact"/>
        <w:jc w:val="left"/>
        <w:outlineLvl w:val="9"/>
        <w:rPr>
          <w:rFonts w:hint="eastAsia" w:ascii="微软雅黑" w:hAnsi="微软雅黑" w:eastAsia="微软雅黑" w:cs="微软雅黑"/>
          <w:color w:val="000000" w:themeColor="text1"/>
          <w:sz w:val="24"/>
          <w:szCs w:val="24"/>
          <w14:textFill>
            <w14:solidFill>
              <w14:schemeClr w14:val="tx1"/>
            </w14:solidFill>
          </w14:textFill>
        </w:rPr>
      </w:pPr>
    </w:p>
    <w:p>
      <w:pPr>
        <w:spacing w:line="400" w:lineRule="exact"/>
        <w:ind w:firstLine="0" w:firstLineChars="0"/>
        <w:jc w:val="left"/>
        <w:outlineLvl w:val="9"/>
        <w:rPr>
          <w:rFonts w:hint="eastAsia" w:ascii="微软雅黑" w:hAnsi="微软雅黑" w:eastAsia="微软雅黑" w:cs="微软雅黑"/>
          <w:color w:val="000000" w:themeColor="text1"/>
          <w:sz w:val="24"/>
          <w:szCs w:val="24"/>
          <w14:textFill>
            <w14:solidFill>
              <w14:schemeClr w14:val="tx1"/>
            </w14:solidFill>
          </w14:textFill>
        </w:rPr>
      </w:pPr>
    </w:p>
    <w:p>
      <w:pPr>
        <w:pStyle w:val="3"/>
        <w:jc w:val="center"/>
        <w:outlineLvl w:val="9"/>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851" w:footer="992" w:gutter="0"/>
          <w:cols w:space="720" w:num="1"/>
          <w:docGrid w:linePitch="380" w:charSpace="-5735"/>
        </w:sectPr>
      </w:pPr>
      <w:bookmarkStart w:id="98" w:name="_Toc7481"/>
      <w:bookmarkStart w:id="99" w:name="_Toc485108787"/>
    </w:p>
    <w:bookmarkEnd w:id="97"/>
    <w:bookmarkEnd w:id="98"/>
    <w:bookmarkEnd w:id="99"/>
    <w:p>
      <w:pPr>
        <w:pStyle w:val="3"/>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00" w:name="_Toc24851"/>
      <w:bookmarkStart w:id="101" w:name="_Toc65660342"/>
      <w:bookmarkStart w:id="102" w:name="_Toc485108789"/>
      <w:bookmarkStart w:id="103" w:name="_Toc14736"/>
      <w:bookmarkStart w:id="104" w:name="_Toc615"/>
      <w:bookmarkStart w:id="105" w:name="_Toc344475122"/>
      <w:bookmarkStart w:id="106" w:name="_Toc485108790"/>
      <w:bookmarkStart w:id="107" w:name="_Toc12789059"/>
      <w:bookmarkStart w:id="108" w:name="_Toc11641055"/>
      <w:r>
        <w:rPr>
          <w:rFonts w:hint="eastAsia" w:ascii="微软雅黑" w:hAnsi="微软雅黑" w:eastAsia="微软雅黑" w:cs="微软雅黑"/>
          <w:b/>
          <w:color w:val="000000" w:themeColor="text1"/>
          <w:sz w:val="36"/>
          <w:szCs w:val="36"/>
          <w:lang w:eastAsia="zh-CN"/>
          <w14:textFill>
            <w14:solidFill>
              <w14:schemeClr w14:val="tx1"/>
            </w14:solidFill>
          </w14:textFill>
        </w:rPr>
        <w:t>第四篇</w:t>
      </w:r>
      <w:r>
        <w:rPr>
          <w:rFonts w:hint="eastAsia" w:ascii="微软雅黑" w:hAnsi="微软雅黑" w:eastAsia="微软雅黑" w:cs="微软雅黑"/>
          <w:b/>
          <w:color w:val="000000" w:themeColor="text1"/>
          <w:sz w:val="36"/>
          <w:szCs w:val="36"/>
          <w14:textFill>
            <w14:solidFill>
              <w14:schemeClr w14:val="tx1"/>
            </w14:solidFill>
          </w14:textFill>
        </w:rPr>
        <w:t xml:space="preserve"> 项目商务要求</w:t>
      </w:r>
    </w:p>
    <w:p>
      <w:pPr>
        <w:pStyle w:val="4"/>
        <w:pageBreakBefore w:val="0"/>
        <w:widowControl w:val="0"/>
        <w:kinsoku/>
        <w:wordWrap/>
        <w:overflowPunct/>
        <w:topLinePunct w:val="0"/>
        <w:autoSpaceDE/>
        <w:autoSpaceDN/>
        <w:bidi w:val="0"/>
        <w:adjustRightInd/>
        <w:spacing w:before="0" w:after="0" w:line="36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p>
    <w:p>
      <w:pPr>
        <w:pStyle w:val="4"/>
        <w:pageBreakBefore w:val="0"/>
        <w:widowControl w:val="0"/>
        <w:kinsoku/>
        <w:wordWrap/>
        <w:overflowPunct/>
        <w:topLinePunct w:val="0"/>
        <w:autoSpaceDE/>
        <w:autoSpaceDN/>
        <w:bidi w:val="0"/>
        <w:adjustRightInd/>
        <w:spacing w:before="0" w:after="0" w:line="360" w:lineRule="exact"/>
        <w:ind w:firstLine="480" w:firstLineChars="200"/>
        <w:textAlignment w:val="auto"/>
        <w:rPr>
          <w:rFonts w:hint="default" w:ascii="微软雅黑" w:hAnsi="微软雅黑" w:eastAsia="微软雅黑" w:cs="微软雅黑"/>
          <w:color w:val="000000" w:themeColor="text1"/>
          <w:sz w:val="24"/>
          <w:szCs w:val="24"/>
          <w:lang w:val="en-US"/>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服务时间、</w:t>
      </w:r>
      <w:r>
        <w:rPr>
          <w:rFonts w:hint="eastAsia" w:ascii="微软雅黑" w:hAnsi="微软雅黑" w:eastAsia="微软雅黑" w:cs="微软雅黑"/>
          <w:color w:val="000000" w:themeColor="text1"/>
          <w:sz w:val="24"/>
          <w:szCs w:val="24"/>
          <w14:textFill>
            <w14:solidFill>
              <w14:schemeClr w14:val="tx1"/>
            </w14:solidFill>
          </w14:textFill>
        </w:rPr>
        <w:t>地点</w:t>
      </w:r>
      <w:r>
        <w:rPr>
          <w:rFonts w:hint="eastAsia" w:ascii="微软雅黑" w:hAnsi="微软雅黑" w:eastAsia="微软雅黑" w:cs="微软雅黑"/>
          <w:color w:val="000000" w:themeColor="text1"/>
          <w:sz w:val="24"/>
          <w:szCs w:val="24"/>
          <w:lang w:eastAsia="zh-CN"/>
          <w14:textFill>
            <w14:solidFill>
              <w14:schemeClr w14:val="tx1"/>
            </w14:solidFill>
          </w14:textFill>
        </w:rPr>
        <w:t>、运输、安装</w:t>
      </w:r>
      <w:bookmarkEnd w:id="100"/>
      <w:bookmarkEnd w:id="101"/>
      <w:r>
        <w:rPr>
          <w:rFonts w:hint="eastAsia" w:ascii="微软雅黑" w:hAnsi="微软雅黑" w:eastAsia="微软雅黑" w:cs="微软雅黑"/>
          <w:color w:val="000000" w:themeColor="text1"/>
          <w:sz w:val="24"/>
          <w:szCs w:val="24"/>
          <w:lang w:eastAsia="zh-CN"/>
          <w14:textFill>
            <w14:solidFill>
              <w14:schemeClr w14:val="tx1"/>
            </w14:solidFill>
          </w14:textFill>
        </w:rPr>
        <w:t>与验收</w:t>
      </w:r>
    </w:p>
    <w:p>
      <w:pPr>
        <w:pStyle w:val="34"/>
        <w:spacing w:line="400" w:lineRule="exact"/>
        <w:ind w:firstLine="360" w:firstLineChars="150"/>
        <w:rPr>
          <w:rFonts w:hint="eastAsia" w:ascii="方正仿宋_GBK" w:hAnsi="宋体" w:eastAsia="方正仿宋_GBK" w:cs="Times New Roman"/>
          <w:color w:val="000000"/>
          <w:sz w:val="24"/>
          <w:szCs w:val="24"/>
          <w:lang w:val="en-US" w:eastAsia="zh-CN"/>
        </w:rPr>
      </w:pPr>
      <w:r>
        <w:rPr>
          <w:rFonts w:hint="eastAsia" w:ascii="方正仿宋_GBK" w:hAnsi="宋体" w:eastAsia="方正仿宋_GBK" w:cs="Times New Roman"/>
          <w:color w:val="000000"/>
          <w:sz w:val="24"/>
          <w:szCs w:val="24"/>
        </w:rPr>
        <w:t>（</w:t>
      </w:r>
      <w:r>
        <w:rPr>
          <w:rFonts w:hint="eastAsia" w:ascii="方正仿宋_GBK" w:hAnsi="宋体" w:eastAsia="方正仿宋_GBK" w:cs="Times New Roman"/>
          <w:color w:val="000000"/>
          <w:sz w:val="24"/>
          <w:szCs w:val="24"/>
          <w:lang w:val="en-US" w:eastAsia="zh-CN"/>
        </w:rPr>
        <w:t>一）服务时间：响应单位根据现场合理安排施工周期，提交施工方案、工期及施工进度表。</w:t>
      </w:r>
    </w:p>
    <w:p>
      <w:pPr>
        <w:pStyle w:val="34"/>
        <w:spacing w:line="400" w:lineRule="exact"/>
        <w:ind w:firstLine="360" w:firstLineChars="150"/>
        <w:rPr>
          <w:rFonts w:hint="eastAsia" w:ascii="方正仿宋_GBK" w:hAnsi="宋体" w:eastAsia="方正仿宋_GBK"/>
          <w:color w:val="000000"/>
          <w:sz w:val="24"/>
          <w:szCs w:val="24"/>
        </w:rPr>
      </w:pPr>
      <w:r>
        <w:rPr>
          <w:rFonts w:hint="eastAsia" w:ascii="方正仿宋_GBK" w:hAnsi="宋体" w:eastAsia="方正仿宋_GBK" w:cs="Times New Roman"/>
          <w:color w:val="000000"/>
          <w:sz w:val="24"/>
          <w:szCs w:val="24"/>
          <w:lang w:val="en-US" w:eastAsia="zh-CN"/>
        </w:rPr>
        <w:t>（二）</w:t>
      </w:r>
      <w:r>
        <w:rPr>
          <w:rFonts w:hint="eastAsia" w:ascii="方正仿宋_GBK" w:hAnsi="宋体" w:eastAsia="方正仿宋_GBK" w:cs="Times New Roman"/>
          <w:color w:val="000000"/>
          <w:sz w:val="24"/>
          <w:szCs w:val="24"/>
          <w:lang w:eastAsia="zh-CN"/>
        </w:rPr>
        <w:t>服务</w:t>
      </w:r>
      <w:r>
        <w:rPr>
          <w:rFonts w:hint="eastAsia" w:ascii="方正仿宋_GBK" w:hAnsi="宋体" w:eastAsia="方正仿宋_GBK" w:cs="Times New Roman"/>
          <w:color w:val="000000"/>
          <w:sz w:val="24"/>
          <w:szCs w:val="24"/>
        </w:rPr>
        <w:t>地点</w:t>
      </w:r>
      <w:r>
        <w:rPr>
          <w:rFonts w:hint="eastAsia" w:ascii="方正仿宋_GBK" w:hAnsi="宋体" w:eastAsia="方正仿宋_GBK" w:cs="Times New Roman"/>
          <w:color w:val="000000"/>
          <w:sz w:val="24"/>
          <w:szCs w:val="24"/>
          <w:lang w:eastAsia="zh-CN"/>
        </w:rPr>
        <w:t>：</w:t>
      </w:r>
      <w:r>
        <w:rPr>
          <w:rFonts w:hint="eastAsia" w:ascii="方正仿宋_GBK" w:hAnsi="宋体" w:eastAsia="方正仿宋_GBK"/>
          <w:color w:val="000000"/>
          <w:sz w:val="24"/>
          <w:szCs w:val="24"/>
        </w:rPr>
        <w:t>重庆医科大学附属永川医院</w:t>
      </w:r>
      <w:r>
        <w:rPr>
          <w:rFonts w:hint="eastAsia" w:ascii="方正仿宋_GBK" w:hAnsi="宋体" w:eastAsia="方正仿宋_GBK"/>
          <w:color w:val="000000"/>
          <w:sz w:val="24"/>
          <w:szCs w:val="24"/>
          <w:lang w:eastAsia="zh-CN"/>
        </w:rPr>
        <w:t>指定地点</w:t>
      </w:r>
      <w:r>
        <w:rPr>
          <w:rFonts w:hint="eastAsia" w:ascii="方正仿宋_GBK" w:hAnsi="宋体" w:eastAsia="方正仿宋_GBK"/>
          <w:color w:val="000000"/>
          <w:sz w:val="24"/>
          <w:szCs w:val="24"/>
        </w:rPr>
        <w:t>。</w:t>
      </w:r>
    </w:p>
    <w:p>
      <w:pPr>
        <w:pStyle w:val="34"/>
        <w:spacing w:line="400" w:lineRule="exact"/>
        <w:ind w:firstLine="360" w:firstLineChars="150"/>
        <w:rPr>
          <w:rFonts w:hint="eastAsia" w:ascii="方正仿宋_GBK" w:hAnsi="宋体" w:eastAsia="方正仿宋_GBK"/>
          <w:color w:val="000000"/>
          <w:sz w:val="24"/>
          <w:szCs w:val="24"/>
          <w:lang w:eastAsia="zh-CN"/>
        </w:rPr>
      </w:pPr>
      <w:r>
        <w:rPr>
          <w:rFonts w:hint="eastAsia" w:ascii="方正仿宋_GBK" w:hAnsi="宋体" w:eastAsia="方正仿宋_GBK"/>
          <w:color w:val="000000"/>
          <w:sz w:val="24"/>
          <w:szCs w:val="24"/>
        </w:rPr>
        <w:t>（</w:t>
      </w:r>
      <w:r>
        <w:rPr>
          <w:rFonts w:hint="eastAsia" w:ascii="方正仿宋_GBK" w:hAnsi="宋体" w:eastAsia="方正仿宋_GBK"/>
          <w:color w:val="000000"/>
          <w:sz w:val="24"/>
          <w:szCs w:val="24"/>
          <w:lang w:val="en-US" w:eastAsia="zh-CN"/>
        </w:rPr>
        <w:t>三</w:t>
      </w:r>
      <w:r>
        <w:rPr>
          <w:rFonts w:hint="eastAsia" w:ascii="方正仿宋_GBK" w:hAnsi="宋体" w:eastAsia="方正仿宋_GBK"/>
          <w:color w:val="000000"/>
          <w:sz w:val="24"/>
          <w:szCs w:val="24"/>
        </w:rPr>
        <w:t>）</w:t>
      </w:r>
      <w:r>
        <w:rPr>
          <w:rFonts w:hint="eastAsia" w:ascii="方正仿宋_GBK" w:hAnsi="宋体" w:eastAsia="方正仿宋_GBK"/>
          <w:color w:val="000000"/>
          <w:sz w:val="24"/>
          <w:szCs w:val="24"/>
          <w:lang w:eastAsia="zh-CN"/>
        </w:rPr>
        <w:t>运输与安装：</w:t>
      </w:r>
      <w:r>
        <w:rPr>
          <w:rFonts w:hint="eastAsia" w:ascii="方正仿宋_GBK" w:hAnsi="宋体" w:eastAsia="方正仿宋_GBK"/>
          <w:color w:val="000000"/>
          <w:sz w:val="24"/>
          <w:szCs w:val="24"/>
          <w:lang w:val="en-US" w:eastAsia="zh-CN"/>
        </w:rPr>
        <w:t>扶梯运输及安装中，</w:t>
      </w:r>
      <w:r>
        <w:rPr>
          <w:rFonts w:hint="eastAsia" w:ascii="方正仿宋_GBK" w:hAnsi="宋体" w:eastAsia="方正仿宋_GBK"/>
          <w:color w:val="000000"/>
          <w:sz w:val="24"/>
          <w:szCs w:val="24"/>
        </w:rPr>
        <w:t>供应商应</w:t>
      </w:r>
      <w:r>
        <w:rPr>
          <w:rFonts w:hint="eastAsia" w:ascii="方正仿宋_GBK" w:hAnsi="宋体" w:eastAsia="方正仿宋_GBK"/>
          <w:color w:val="000000"/>
          <w:sz w:val="24"/>
          <w:szCs w:val="24"/>
          <w:lang w:eastAsia="zh-CN"/>
        </w:rPr>
        <w:t>采取有效的安全措施，保证工作人员和其他人员的人身安全，并承担因安全事故导致的一切经济和法律责任。如有损坏财产须照价赔偿。</w:t>
      </w:r>
    </w:p>
    <w:p>
      <w:pPr>
        <w:pStyle w:val="34"/>
        <w:spacing w:line="400" w:lineRule="exact"/>
        <w:ind w:firstLine="360" w:firstLineChars="150"/>
        <w:rPr>
          <w:rFonts w:hint="eastAsia" w:ascii="方正仿宋_GBK" w:hAnsi="宋体" w:eastAsia="方正仿宋_GBK"/>
          <w:color w:val="000000"/>
          <w:sz w:val="24"/>
          <w:szCs w:val="24"/>
          <w:lang w:val="en-US" w:eastAsia="zh-CN"/>
        </w:rPr>
      </w:pPr>
      <w:r>
        <w:rPr>
          <w:rFonts w:hint="eastAsia" w:ascii="方正仿宋_GBK" w:hAnsi="宋体" w:eastAsia="方正仿宋_GBK"/>
          <w:color w:val="000000"/>
          <w:sz w:val="24"/>
          <w:szCs w:val="24"/>
          <w:lang w:val="en-US" w:eastAsia="zh-CN"/>
        </w:rPr>
        <w:t>（四）验收：</w:t>
      </w:r>
      <w:bookmarkStart w:id="109" w:name="_Toc277166691"/>
      <w:bookmarkStart w:id="110" w:name="_Toc276026162"/>
      <w:r>
        <w:rPr>
          <w:rFonts w:hint="eastAsia" w:ascii="方正仿宋_GBK" w:hAnsi="宋体" w:eastAsia="方正仿宋_GBK"/>
          <w:color w:val="000000"/>
          <w:sz w:val="24"/>
          <w:szCs w:val="24"/>
          <w:lang w:val="en-US" w:eastAsia="zh-CN"/>
        </w:rPr>
        <w:t>成交供应商负责准备相关资料，由采购方组织相关人员进行项目验收。</w:t>
      </w:r>
      <w:bookmarkStart w:id="111" w:name="_Toc525802986"/>
      <w:bookmarkStart w:id="112" w:name="_Toc524528504"/>
      <w:r>
        <w:rPr>
          <w:rFonts w:hint="eastAsia" w:ascii="方正仿宋_GBK" w:hAnsi="宋体" w:eastAsia="方正仿宋_GBK"/>
          <w:color w:val="000000"/>
          <w:sz w:val="24"/>
          <w:szCs w:val="24"/>
          <w:lang w:val="en-US" w:eastAsia="zh-CN"/>
        </w:rPr>
        <w:t>如验收未达到合格标准，由成交供应商方自行进行整改直至合格，整改发生的一切费用由成交供应商承担。</w:t>
      </w:r>
      <w:bookmarkEnd w:id="111"/>
      <w:bookmarkEnd w:id="112"/>
    </w:p>
    <w:bookmarkEnd w:id="109"/>
    <w:bookmarkEnd w:id="110"/>
    <w:p>
      <w:pPr>
        <w:pStyle w:val="34"/>
        <w:spacing w:line="400" w:lineRule="exact"/>
        <w:ind w:firstLine="360" w:firstLineChars="150"/>
        <w:rPr>
          <w:rFonts w:hint="eastAsia" w:ascii="方正仿宋_GBK" w:hAnsi="宋体" w:eastAsia="方正仿宋_GBK"/>
          <w:color w:val="000000"/>
          <w:sz w:val="24"/>
          <w:szCs w:val="24"/>
          <w:lang w:val="en-US" w:eastAsia="zh-CN"/>
        </w:rPr>
      </w:pPr>
    </w:p>
    <w:p>
      <w:pPr>
        <w:pStyle w:val="4"/>
        <w:pageBreakBefore w:val="0"/>
        <w:widowControl w:val="0"/>
        <w:kinsoku/>
        <w:wordWrap/>
        <w:overflowPunct/>
        <w:topLinePunct w:val="0"/>
        <w:autoSpaceDE/>
        <w:autoSpaceDN/>
        <w:bidi w:val="0"/>
        <w:adjustRightInd/>
        <w:spacing w:before="0" w:after="0" w:line="36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二、质量保证及售后服务</w:t>
      </w:r>
      <w:bookmarkEnd w:id="102"/>
      <w:bookmarkEnd w:id="103"/>
      <w:bookmarkEnd w:id="104"/>
    </w:p>
    <w:p>
      <w:pPr>
        <w:spacing w:line="400" w:lineRule="exact"/>
        <w:ind w:firstLine="480" w:firstLineChars="200"/>
        <w:jc w:val="left"/>
        <w:rPr>
          <w:rFonts w:hint="eastAsia"/>
          <w:color w:val="000000"/>
        </w:rPr>
      </w:pPr>
      <w:bookmarkStart w:id="113" w:name="_Toc8669"/>
      <w:r>
        <w:rPr>
          <w:rFonts w:hint="eastAsia" w:ascii="方正仿宋_GBK" w:hAnsi="宋体" w:eastAsia="方正仿宋_GBK" w:cs="Times New Roman"/>
          <w:color w:val="000000"/>
          <w:sz w:val="24"/>
          <w:szCs w:val="24"/>
        </w:rPr>
        <w:t>（一）产品质量保证期：自验收合格之日起，提供</w:t>
      </w:r>
      <w:r>
        <w:rPr>
          <w:rFonts w:hint="eastAsia" w:ascii="方正仿宋_GBK" w:hAnsi="宋体" w:eastAsia="方正仿宋_GBK" w:cs="Times New Roman"/>
          <w:color w:val="000000"/>
          <w:sz w:val="24"/>
          <w:szCs w:val="24"/>
          <w:lang w:val="en-US" w:eastAsia="zh-CN"/>
        </w:rPr>
        <w:t>2</w:t>
      </w:r>
      <w:r>
        <w:rPr>
          <w:rFonts w:hint="eastAsia" w:ascii="方正仿宋_GBK" w:hAnsi="宋体" w:eastAsia="方正仿宋_GBK" w:cs="Times New Roman"/>
          <w:color w:val="000000"/>
          <w:sz w:val="24"/>
          <w:szCs w:val="24"/>
        </w:rPr>
        <w:t>年</w:t>
      </w:r>
      <w:r>
        <w:rPr>
          <w:rFonts w:hint="eastAsia" w:ascii="方正仿宋_GBK" w:hAnsi="宋体" w:eastAsia="方正仿宋_GBK" w:cs="Times New Roman"/>
          <w:color w:val="000000"/>
          <w:sz w:val="24"/>
          <w:szCs w:val="24"/>
          <w:lang w:val="en-US" w:eastAsia="zh-CN"/>
        </w:rPr>
        <w:t>(2年及以上）</w:t>
      </w:r>
      <w:r>
        <w:rPr>
          <w:rFonts w:hint="eastAsia" w:ascii="方正仿宋_GBK" w:hAnsi="宋体" w:eastAsia="方正仿宋_GBK" w:cs="Times New Roman"/>
          <w:color w:val="000000"/>
          <w:sz w:val="24"/>
          <w:szCs w:val="24"/>
        </w:rPr>
        <w:t>的免费质保期。</w:t>
      </w:r>
    </w:p>
    <w:p>
      <w:pPr>
        <w:spacing w:line="400" w:lineRule="exact"/>
        <w:ind w:firstLine="480" w:firstLineChars="200"/>
        <w:rPr>
          <w:rFonts w:hint="eastAsia" w:ascii="方正仿宋_GBK" w:hAnsi="宋体" w:eastAsia="方正仿宋_GBK"/>
          <w:color w:val="000000"/>
          <w:sz w:val="24"/>
          <w:szCs w:val="24"/>
          <w:lang w:eastAsia="zh-CN"/>
        </w:rPr>
      </w:pPr>
      <w:r>
        <w:rPr>
          <w:rFonts w:hint="eastAsia" w:ascii="方正仿宋_GBK" w:hAnsi="宋体" w:eastAsia="方正仿宋_GBK"/>
          <w:color w:val="000000"/>
          <w:sz w:val="24"/>
          <w:szCs w:val="24"/>
          <w:lang w:eastAsia="zh-CN"/>
        </w:rPr>
        <w:t>（</w:t>
      </w:r>
      <w:r>
        <w:rPr>
          <w:rFonts w:hint="eastAsia" w:ascii="方正仿宋_GBK" w:hAnsi="宋体" w:eastAsia="方正仿宋_GBK"/>
          <w:color w:val="000000"/>
          <w:sz w:val="24"/>
          <w:szCs w:val="24"/>
          <w:lang w:val="en-US" w:eastAsia="zh-CN"/>
        </w:rPr>
        <w:t>二</w:t>
      </w:r>
      <w:r>
        <w:rPr>
          <w:rFonts w:hint="eastAsia" w:ascii="方正仿宋_GBK" w:hAnsi="宋体" w:eastAsia="方正仿宋_GBK"/>
          <w:color w:val="000000"/>
          <w:sz w:val="24"/>
          <w:szCs w:val="24"/>
          <w:lang w:eastAsia="zh-CN"/>
        </w:rPr>
        <w:t>）本次采购的扶梯材料为正规厂家生产的全新合格产品，产品质量须符合国家相关的产品质量标准及要求，提供产品检验报告或合格证明。</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微软雅黑" w:hAnsi="微软雅黑" w:eastAsia="微软雅黑" w:cs="微软雅黑"/>
          <w:color w:val="000000" w:themeColor="text1"/>
          <w:kern w:val="0"/>
          <w:sz w:val="24"/>
          <w:szCs w:val="24"/>
          <w:lang w:eastAsia="zh-CN"/>
          <w14:textFill>
            <w14:solidFill>
              <w14:schemeClr w14:val="tx1"/>
            </w14:solidFill>
          </w14:textFill>
        </w:rPr>
        <w:t>（三）</w:t>
      </w:r>
      <w:r>
        <w:rPr>
          <w:rFonts w:hint="eastAsia" w:ascii="微软雅黑" w:hAnsi="微软雅黑" w:eastAsia="微软雅黑" w:cs="微软雅黑"/>
          <w:color w:val="000000" w:themeColor="text1"/>
          <w:kern w:val="0"/>
          <w:sz w:val="24"/>
          <w:szCs w:val="24"/>
          <w14:textFill>
            <w14:solidFill>
              <w14:schemeClr w14:val="tx1"/>
            </w14:solidFill>
          </w14:textFill>
        </w:rPr>
        <w:t>在施工过程中，</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成交供应商</w:t>
      </w:r>
      <w:r>
        <w:rPr>
          <w:rFonts w:hint="eastAsia" w:ascii="微软雅黑" w:hAnsi="微软雅黑" w:eastAsia="微软雅黑" w:cs="微软雅黑"/>
          <w:color w:val="000000" w:themeColor="text1"/>
          <w:kern w:val="0"/>
          <w:sz w:val="24"/>
          <w:szCs w:val="24"/>
          <w14:textFill>
            <w14:solidFill>
              <w14:schemeClr w14:val="tx1"/>
            </w14:solidFill>
          </w14:textFill>
        </w:rPr>
        <w:t>应采取有效的安全措施，保证施工人员和其他人员的人身安全，并承担因安全事故导致的一切经济和法律责任。如有损坏财产须照价赔偿。</w:t>
      </w:r>
    </w:p>
    <w:p>
      <w:pPr>
        <w:snapToGrid w:val="0"/>
        <w:spacing w:line="400" w:lineRule="exact"/>
        <w:ind w:firstLine="480" w:firstLineChars="200"/>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四</w:t>
      </w:r>
      <w:r>
        <w:rPr>
          <w:rFonts w:hint="eastAsia" w:ascii="方正仿宋_GBK" w:hAnsi="宋体" w:eastAsia="方正仿宋_GBK" w:cs="Times New Roman"/>
          <w:color w:val="auto"/>
          <w:sz w:val="24"/>
          <w:szCs w:val="24"/>
        </w:rPr>
        <w:t>）服务方接到采购方通知后应立即响应，电话咨询不能解决的应在1小时内安排技术人员到达现场处理，直至解除故障，质保期内免费维修、更换，质保期外提供售后维修服务的，维修只收取配件费。服务方提供有效的维修联系人和电话，如有变更，应及时通知采购方。</w:t>
      </w:r>
    </w:p>
    <w:p>
      <w:pPr>
        <w:pStyle w:val="4"/>
        <w:pageBreakBefore w:val="0"/>
        <w:widowControl w:val="0"/>
        <w:kinsoku/>
        <w:wordWrap/>
        <w:overflowPunct/>
        <w:topLinePunct w:val="0"/>
        <w:autoSpaceDE/>
        <w:autoSpaceDN/>
        <w:bidi w:val="0"/>
        <w:adjustRightInd/>
        <w:spacing w:before="0" w:after="0" w:line="36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14" w:name="_Toc8639"/>
      <w:r>
        <w:rPr>
          <w:rFonts w:hint="eastAsia" w:ascii="微软雅黑" w:hAnsi="微软雅黑" w:eastAsia="微软雅黑" w:cs="微软雅黑"/>
          <w:color w:val="000000" w:themeColor="text1"/>
          <w:sz w:val="24"/>
          <w:szCs w:val="24"/>
          <w14:textFill>
            <w14:solidFill>
              <w14:schemeClr w14:val="tx1"/>
            </w14:solidFill>
          </w14:textFill>
        </w:rPr>
        <w:t>三、付款方式</w:t>
      </w:r>
      <w:bookmarkEnd w:id="105"/>
      <w:bookmarkEnd w:id="106"/>
      <w:bookmarkEnd w:id="113"/>
      <w:bookmarkEnd w:id="114"/>
    </w:p>
    <w:p>
      <w:pPr>
        <w:pStyle w:val="4"/>
        <w:pageBreakBefore w:val="0"/>
        <w:widowControl w:val="0"/>
        <w:kinsoku/>
        <w:wordWrap/>
        <w:overflowPunct/>
        <w:topLinePunct w:val="0"/>
        <w:autoSpaceDE/>
        <w:autoSpaceDN/>
        <w:bidi w:val="0"/>
        <w:adjustRightInd/>
        <w:spacing w:before="0" w:after="0" w:line="360" w:lineRule="exact"/>
        <w:ind w:firstLine="480" w:firstLineChars="200"/>
        <w:textAlignment w:val="auto"/>
        <w:rPr>
          <w:rFonts w:hint="eastAsia" w:ascii="方正仿宋_GBK" w:hAnsi="宋体" w:eastAsia="方正仿宋_GBK" w:cs="Times New Roman"/>
          <w:b w:val="0"/>
          <w:color w:val="auto"/>
          <w:kern w:val="2"/>
          <w:sz w:val="24"/>
          <w:szCs w:val="24"/>
          <w:lang w:val="en-US" w:eastAsia="zh-CN" w:bidi="ar-SA"/>
        </w:rPr>
      </w:pPr>
      <w:bookmarkStart w:id="115" w:name="_Toc29095"/>
      <w:bookmarkStart w:id="116" w:name="_Toc8589"/>
      <w:r>
        <w:rPr>
          <w:rFonts w:hint="eastAsia" w:ascii="方正仿宋_GBK" w:hAnsi="宋体" w:eastAsia="方正仿宋_GBK" w:cs="Times New Roman"/>
          <w:b w:val="0"/>
          <w:color w:val="auto"/>
          <w:kern w:val="2"/>
          <w:sz w:val="24"/>
          <w:szCs w:val="24"/>
          <w:lang w:val="en-US" w:eastAsia="zh-CN" w:bidi="ar-SA"/>
        </w:rPr>
        <w:t>本次采购无预付款，全部改造内容完成后，经采购方验收合格，按实际验收数量结算，采购方凭正式发票于60日内转账支付结算总价的95%，余款5%为质量保证金，在质保期满后无息支付。</w:t>
      </w:r>
    </w:p>
    <w:p>
      <w:pPr>
        <w:pStyle w:val="4"/>
        <w:pageBreakBefore w:val="0"/>
        <w:widowControl w:val="0"/>
        <w:kinsoku/>
        <w:wordWrap/>
        <w:overflowPunct/>
        <w:topLinePunct w:val="0"/>
        <w:autoSpaceDE/>
        <w:autoSpaceDN/>
        <w:bidi w:val="0"/>
        <w:adjustRightInd/>
        <w:spacing w:before="0" w:after="0" w:line="36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115"/>
      <w:bookmarkEnd w:id="116"/>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pStyle w:val="4"/>
        <w:pageBreakBefore w:val="0"/>
        <w:widowControl w:val="0"/>
        <w:kinsoku/>
        <w:wordWrap/>
        <w:overflowPunct/>
        <w:topLinePunct w:val="0"/>
        <w:autoSpaceDE/>
        <w:autoSpaceDN/>
        <w:bidi w:val="0"/>
        <w:adjustRightInd/>
        <w:spacing w:before="0" w:after="0" w:line="36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17" w:name="_Toc403569795"/>
      <w:bookmarkStart w:id="118" w:name="_Toc7777"/>
      <w:bookmarkStart w:id="119" w:name="_Toc485108793"/>
      <w:bookmarkStart w:id="120" w:name="_Toc27345"/>
      <w:r>
        <w:rPr>
          <w:rFonts w:hint="eastAsia" w:ascii="微软雅黑" w:hAnsi="微软雅黑" w:eastAsia="微软雅黑" w:cs="微软雅黑"/>
          <w:color w:val="000000" w:themeColor="text1"/>
          <w:sz w:val="24"/>
          <w:szCs w:val="24"/>
          <w:lang w:eastAsia="zh-CN"/>
          <w14:textFill>
            <w14:solidFill>
              <w14:schemeClr w14:val="tx1"/>
            </w14:solidFill>
          </w14:textFill>
        </w:rPr>
        <w:t>五</w:t>
      </w:r>
      <w:r>
        <w:rPr>
          <w:rFonts w:hint="eastAsia" w:ascii="微软雅黑" w:hAnsi="微软雅黑" w:eastAsia="微软雅黑" w:cs="微软雅黑"/>
          <w:color w:val="000000" w:themeColor="text1"/>
          <w:sz w:val="24"/>
          <w:szCs w:val="24"/>
          <w14:textFill>
            <w14:solidFill>
              <w14:schemeClr w14:val="tx1"/>
            </w14:solidFill>
          </w14:textFill>
        </w:rPr>
        <w:t>、其他</w:t>
      </w:r>
      <w:bookmarkEnd w:id="117"/>
      <w:bookmarkEnd w:id="118"/>
      <w:bookmarkEnd w:id="119"/>
      <w:bookmarkEnd w:id="120"/>
    </w:p>
    <w:p>
      <w:pPr>
        <w:snapToGrid w:val="0"/>
        <w:spacing w:line="400" w:lineRule="exact"/>
        <w:ind w:firstLine="540"/>
        <w:rPr>
          <w:rFonts w:hint="eastAsia" w:ascii="方正仿宋_GBK" w:hAnsi="宋体" w:eastAsia="方正仿宋_GBK"/>
          <w:color w:val="000000"/>
          <w:sz w:val="24"/>
          <w:szCs w:val="24"/>
        </w:rPr>
      </w:pPr>
      <w:r>
        <w:rPr>
          <w:rFonts w:hint="eastAsia" w:ascii="方正仿宋_GBK" w:hAnsi="宋体" w:eastAsia="方正仿宋_GBK"/>
          <w:color w:val="000000"/>
          <w:sz w:val="24"/>
          <w:szCs w:val="24"/>
        </w:rPr>
        <w:t>（一）供应商必须在响应文件中对以上条款和服务承诺明确列出，承诺内容必须达到本篇及</w:t>
      </w:r>
      <w:r>
        <w:rPr>
          <w:rFonts w:hint="eastAsia" w:ascii="方正仿宋_GBK" w:hAnsi="宋体" w:eastAsia="方正仿宋_GBK"/>
          <w:color w:val="000000"/>
          <w:sz w:val="24"/>
          <w:szCs w:val="24"/>
          <w:lang w:eastAsia="zh-CN"/>
        </w:rPr>
        <w:t>比选文件</w:t>
      </w:r>
      <w:r>
        <w:rPr>
          <w:rFonts w:hint="eastAsia" w:ascii="方正仿宋_GBK" w:hAnsi="宋体" w:eastAsia="方正仿宋_GBK"/>
          <w:color w:val="000000"/>
          <w:sz w:val="24"/>
          <w:szCs w:val="24"/>
        </w:rPr>
        <w:t>其他条款的要求。</w:t>
      </w:r>
    </w:p>
    <w:p>
      <w:pPr>
        <w:snapToGrid w:val="0"/>
        <w:spacing w:line="400" w:lineRule="exact"/>
        <w:ind w:firstLine="540"/>
        <w:rPr>
          <w:rFonts w:hint="eastAsia" w:ascii="方正仿宋_GBK" w:hAnsi="宋体" w:eastAsia="方正仿宋_GBK"/>
          <w:color w:val="000000"/>
          <w:sz w:val="24"/>
          <w:szCs w:val="24"/>
        </w:rPr>
      </w:pPr>
      <w:r>
        <w:rPr>
          <w:rFonts w:hint="eastAsia" w:ascii="方正仿宋_GBK" w:hAnsi="宋体" w:eastAsia="方正仿宋_GBK"/>
          <w:color w:val="000000"/>
          <w:sz w:val="24"/>
          <w:szCs w:val="24"/>
        </w:rPr>
        <w:t>（二）其他未尽事宜由供需双方在采购合同中详细约定，供应商在响应文件中所承诺的所有经济、技术和商务条款都要纳入成交合同中。</w:t>
      </w:r>
    </w:p>
    <w:p>
      <w:pPr>
        <w:snapToGrid w:val="0"/>
        <w:spacing w:line="400" w:lineRule="exact"/>
        <w:ind w:firstLine="540"/>
        <w:rPr>
          <w:rFonts w:hint="eastAsia" w:ascii="方正仿宋_GBK" w:hAnsi="宋体" w:eastAsia="方正仿宋_GBK"/>
          <w:color w:val="000000"/>
          <w:sz w:val="24"/>
          <w:szCs w:val="24"/>
        </w:rPr>
      </w:pPr>
      <w:r>
        <w:rPr>
          <w:rFonts w:hint="eastAsia" w:ascii="方正仿宋_GBK" w:hAnsi="宋体" w:eastAsia="方正仿宋_GBK"/>
          <w:color w:val="000000"/>
          <w:sz w:val="24"/>
          <w:szCs w:val="24"/>
        </w:rPr>
        <w:t>（三）如供应商因违反或不履行响应时承诺的商务和技术要求时，医院保留对技术指标进行验证的权利，发现供应商及原生产厂家提供虚假参数的，医院有权按照相关法律法规的规定，取消违反</w:t>
      </w:r>
      <w:r>
        <w:rPr>
          <w:rFonts w:hint="eastAsia" w:ascii="方正仿宋_GBK" w:hAnsi="宋体" w:eastAsia="方正仿宋_GBK"/>
          <w:color w:val="000000"/>
          <w:sz w:val="24"/>
          <w:szCs w:val="24"/>
          <w:lang w:eastAsia="zh-CN"/>
        </w:rPr>
        <w:t>比选文件</w:t>
      </w:r>
      <w:r>
        <w:rPr>
          <w:rFonts w:hint="eastAsia" w:ascii="方正仿宋_GBK" w:hAnsi="宋体" w:eastAsia="方正仿宋_GBK"/>
          <w:color w:val="000000"/>
          <w:sz w:val="24"/>
          <w:szCs w:val="24"/>
        </w:rPr>
        <w:t>约定的成交人成交资格，以及按医院采购制度对其进行处罚。</w:t>
      </w:r>
    </w:p>
    <w:p>
      <w:pPr>
        <w:snapToGrid w:val="0"/>
        <w:spacing w:line="400" w:lineRule="exact"/>
        <w:ind w:firstLine="540"/>
        <w:rPr>
          <w:rFonts w:hint="eastAsia" w:ascii="方正仿宋_GBK" w:hAnsi="宋体" w:eastAsia="方正仿宋_GBK"/>
          <w:color w:val="000000"/>
          <w:sz w:val="24"/>
          <w:szCs w:val="24"/>
        </w:rPr>
      </w:pPr>
      <w:r>
        <w:rPr>
          <w:rFonts w:hint="eastAsia" w:ascii="方正仿宋_GBK" w:hAnsi="宋体" w:eastAsia="方正仿宋_GBK"/>
          <w:color w:val="000000"/>
          <w:sz w:val="24"/>
          <w:szCs w:val="24"/>
        </w:rPr>
        <w:t>（四）成交供应商应保证所提供的产品和服务整体功能的实现。如发生以下情况，医院有权取消其成交资格：1、如放弃成交项目或在签订合时擅自改变成交状态的；2、所提供的产品和服务在功能、参数等方面未满足</w:t>
      </w:r>
      <w:r>
        <w:rPr>
          <w:rFonts w:hint="eastAsia" w:ascii="方正仿宋_GBK" w:hAnsi="宋体" w:eastAsia="方正仿宋_GBK"/>
          <w:color w:val="000000"/>
          <w:sz w:val="24"/>
          <w:szCs w:val="24"/>
          <w:lang w:eastAsia="zh-CN"/>
        </w:rPr>
        <w:t>比选文件</w:t>
      </w:r>
      <w:r>
        <w:rPr>
          <w:rFonts w:hint="eastAsia" w:ascii="方正仿宋_GBK" w:hAnsi="宋体" w:eastAsia="方正仿宋_GBK"/>
          <w:color w:val="000000"/>
          <w:sz w:val="24"/>
          <w:szCs w:val="24"/>
        </w:rPr>
        <w:t>及相关承诺的；3、证实提交了相关虚假文件的。发生上述情况，医院除申请取消其成交资格同时，有权退货及终止合同，成交供应商一切损失自行承担。</w:t>
      </w:r>
    </w:p>
    <w:p>
      <w:pPr>
        <w:snapToGrid w:val="0"/>
        <w:spacing w:line="400" w:lineRule="exact"/>
        <w:ind w:firstLine="540"/>
        <w:rPr>
          <w:rFonts w:hint="eastAsia" w:ascii="方正仿宋_GBK" w:hAnsi="宋体" w:eastAsia="方正仿宋_GBK"/>
          <w:color w:val="000000"/>
          <w:sz w:val="24"/>
          <w:szCs w:val="24"/>
        </w:rPr>
      </w:pPr>
      <w:r>
        <w:rPr>
          <w:rFonts w:hint="eastAsia" w:ascii="方正仿宋_GBK" w:hAnsi="宋体" w:eastAsia="方正仿宋_GBK"/>
          <w:color w:val="000000"/>
          <w:sz w:val="24"/>
          <w:szCs w:val="24"/>
        </w:rPr>
        <w:t>（五）</w:t>
      </w:r>
      <w:r>
        <w:rPr>
          <w:rFonts w:hint="eastAsia" w:ascii="方正仿宋_GBK" w:hAnsi="宋体" w:eastAsia="方正仿宋_GBK"/>
          <w:color w:val="000000"/>
          <w:sz w:val="24"/>
          <w:szCs w:val="24"/>
          <w:lang w:eastAsia="zh-CN"/>
        </w:rPr>
        <w:t>比选文件</w:t>
      </w:r>
      <w:r>
        <w:rPr>
          <w:rFonts w:hint="eastAsia" w:ascii="方正仿宋_GBK" w:hAnsi="宋体" w:eastAsia="方正仿宋_GBK"/>
          <w:color w:val="000000"/>
          <w:sz w:val="24"/>
          <w:szCs w:val="24"/>
        </w:rPr>
        <w:t>、成交供应商的报价文件及有效承诺文件等，均为签订合同的依据，是合同不可分割的一部分。</w:t>
      </w:r>
    </w:p>
    <w:p>
      <w:pPr>
        <w:pStyle w:val="3"/>
        <w:jc w:val="center"/>
        <w:rPr>
          <w:rFonts w:hint="eastAsia" w:ascii="微软雅黑" w:hAnsi="微软雅黑" w:eastAsia="微软雅黑" w:cs="微软雅黑"/>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14:textFill>
            <w14:solidFill>
              <w14:schemeClr w14:val="tx1"/>
            </w14:solidFill>
          </w14:textFill>
        </w:rPr>
        <w:br w:type="page"/>
      </w:r>
      <w:bookmarkEnd w:id="107"/>
      <w:bookmarkEnd w:id="108"/>
      <w:bookmarkStart w:id="121" w:name="_Toc24156"/>
      <w:bookmarkStart w:id="122" w:name="_Toc485108794"/>
      <w:bookmarkStart w:id="123" w:name="_Toc1020"/>
      <w:bookmarkStart w:id="124" w:name="_Toc403569796"/>
      <w:bookmarkStart w:id="125" w:name="_Toc148265480"/>
      <w:bookmarkStart w:id="126" w:name="_Toc303945820"/>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121"/>
      <w:bookmarkEnd w:id="122"/>
      <w:bookmarkEnd w:id="123"/>
      <w:bookmarkEnd w:id="124"/>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27" w:name="_Toc10067"/>
      <w:bookmarkStart w:id="128" w:name="_Toc25636"/>
      <w:bookmarkStart w:id="129" w:name="_Toc54718202"/>
      <w:r>
        <w:rPr>
          <w:rFonts w:hint="eastAsia" w:ascii="微软雅黑" w:hAnsi="微软雅黑" w:eastAsia="微软雅黑" w:cs="微软雅黑"/>
          <w:color w:val="000000" w:themeColor="text1"/>
          <w:sz w:val="24"/>
          <w:szCs w:val="24"/>
          <w14:textFill>
            <w14:solidFill>
              <w14:schemeClr w14:val="tx1"/>
            </w14:solidFill>
          </w14:textFill>
        </w:rPr>
        <w:t>一、定义</w:t>
      </w:r>
      <w:bookmarkEnd w:id="127"/>
      <w:bookmarkEnd w:id="128"/>
      <w:bookmarkEnd w:id="129"/>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30" w:name="_Toc988"/>
      <w:r>
        <w:rPr>
          <w:rFonts w:hint="eastAsia" w:ascii="微软雅黑" w:hAnsi="微软雅黑" w:eastAsia="微软雅黑" w:cs="微软雅黑"/>
          <w:color w:val="000000" w:themeColor="text1"/>
          <w:sz w:val="24"/>
          <w:szCs w:val="24"/>
          <w14:textFill>
            <w14:solidFill>
              <w14:schemeClr w14:val="tx1"/>
            </w14:solidFill>
          </w14:textFill>
        </w:rPr>
        <w:t>（一）甲方（需方）即重庆医科大学附属永川医院。</w:t>
      </w:r>
      <w:bookmarkEnd w:id="130"/>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31" w:name="_Toc22662"/>
      <w:r>
        <w:rPr>
          <w:rFonts w:hint="eastAsia" w:ascii="微软雅黑" w:hAnsi="微软雅黑" w:eastAsia="微软雅黑" w:cs="微软雅黑"/>
          <w:color w:val="000000" w:themeColor="text1"/>
          <w:sz w:val="24"/>
          <w:szCs w:val="24"/>
          <w14:textFill>
            <w14:solidFill>
              <w14:schemeClr w14:val="tx1"/>
            </w14:solidFill>
          </w14:textFill>
        </w:rPr>
        <w:t>（二）乙方（供方）即成交供应商，是指成交后提供合同货物和服务的自然人、法人及其他组织。</w:t>
      </w:r>
      <w:bookmarkEnd w:id="131"/>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32" w:name="_Toc30025"/>
      <w:r>
        <w:rPr>
          <w:rFonts w:hint="eastAsia" w:ascii="微软雅黑" w:hAnsi="微软雅黑" w:eastAsia="微软雅黑" w:cs="微软雅黑"/>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132"/>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33" w:name="_Toc2152"/>
      <w:r>
        <w:rPr>
          <w:rFonts w:hint="eastAsia" w:ascii="微软雅黑" w:hAnsi="微软雅黑" w:eastAsia="微软雅黑" w:cs="微软雅黑"/>
          <w:color w:val="000000" w:themeColor="text1"/>
          <w:sz w:val="24"/>
          <w:szCs w:val="24"/>
          <w14:textFill>
            <w14:solidFill>
              <w14:schemeClr w14:val="tx1"/>
            </w14:solidFill>
          </w14:textFill>
        </w:rPr>
        <w:t>（四）合同价格指以成交价格为依据，在供方全面履行合同义务后，需方应支付给供方的金额。</w:t>
      </w:r>
      <w:bookmarkEnd w:id="133"/>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34" w:name="_Toc9666"/>
      <w:r>
        <w:rPr>
          <w:rFonts w:hint="eastAsia" w:ascii="微软雅黑" w:hAnsi="微软雅黑" w:eastAsia="微软雅黑" w:cs="微软雅黑"/>
          <w:color w:val="000000" w:themeColor="text1"/>
          <w:sz w:val="24"/>
          <w:szCs w:val="24"/>
          <w14:textFill>
            <w14:solidFill>
              <w14:schemeClr w14:val="tx1"/>
            </w14:solidFill>
          </w14:textFill>
        </w:rPr>
        <w:t>（五）技术资料是指合同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及其相关的设计、制造、监造、检验、验收等文件（包括图纸、各种文字说明、标准）。</w:t>
      </w:r>
      <w:bookmarkEnd w:id="134"/>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35" w:name="_Toc30999"/>
      <w:bookmarkStart w:id="136" w:name="_Toc54718204"/>
      <w:bookmarkStart w:id="137" w:name="_Toc6794"/>
      <w:r>
        <w:rPr>
          <w:rFonts w:hint="eastAsia" w:ascii="微软雅黑" w:hAnsi="微软雅黑" w:eastAsia="微软雅黑" w:cs="微软雅黑"/>
          <w:color w:val="000000" w:themeColor="text1"/>
          <w:sz w:val="24"/>
          <w:szCs w:val="24"/>
          <w:lang w:eastAsia="zh-CN"/>
          <w14:textFill>
            <w14:solidFill>
              <w14:schemeClr w14:val="tx1"/>
            </w14:solidFill>
          </w14:textFill>
        </w:rPr>
        <w:t>二、合同内容</w:t>
      </w:r>
      <w:bookmarkEnd w:id="135"/>
      <w:bookmarkStart w:id="138" w:name="_Toc28967"/>
    </w:p>
    <w:bookmarkEnd w:id="138"/>
    <w:p>
      <w:pPr>
        <w:snapToGrid w:val="0"/>
        <w:spacing w:line="400" w:lineRule="exact"/>
        <w:ind w:firstLine="480" w:firstLineChars="200"/>
        <w:rPr>
          <w:rFonts w:hint="eastAsia" w:ascii="方正仿宋_GBK" w:hAnsi="宋体" w:eastAsia="方正仿宋_GBK"/>
          <w:color w:val="000000"/>
          <w:sz w:val="24"/>
          <w:szCs w:val="24"/>
        </w:rPr>
      </w:pPr>
      <w:bookmarkStart w:id="139" w:name="_Toc10154"/>
      <w:r>
        <w:rPr>
          <w:rFonts w:hint="eastAsia" w:ascii="方正仿宋_GBK" w:hAnsi="宋体" w:eastAsia="方正仿宋_GBK"/>
          <w:color w:val="000000"/>
          <w:sz w:val="24"/>
          <w:szCs w:val="24"/>
        </w:rPr>
        <w:t>合同包括以下内容：货物名称、型号规格、</w:t>
      </w:r>
      <w:r>
        <w:rPr>
          <w:rFonts w:hint="eastAsia" w:ascii="方正仿宋_GBK" w:hAnsi="宋体" w:eastAsia="方正仿宋_GBK"/>
          <w:color w:val="000000"/>
          <w:sz w:val="24"/>
          <w:szCs w:val="24"/>
          <w:lang w:val="en-US" w:eastAsia="zh-CN"/>
        </w:rPr>
        <w:t>生产厂家、</w:t>
      </w:r>
      <w:r>
        <w:rPr>
          <w:rFonts w:hint="eastAsia" w:ascii="方正仿宋_GBK" w:hAnsi="宋体" w:eastAsia="方正仿宋_GBK"/>
          <w:color w:val="000000"/>
          <w:sz w:val="24"/>
          <w:szCs w:val="24"/>
        </w:rPr>
        <w:t>技术参数、数量（单位）等内容。</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、合同价格</w:t>
      </w:r>
      <w:bookmarkEnd w:id="136"/>
      <w:bookmarkEnd w:id="137"/>
      <w:bookmarkEnd w:id="139"/>
    </w:p>
    <w:p>
      <w:pPr>
        <w:snapToGrid w:val="0"/>
        <w:spacing w:line="400" w:lineRule="exact"/>
        <w:ind w:firstLine="480" w:firstLineChars="200"/>
        <w:rPr>
          <w:rFonts w:hint="eastAsia" w:ascii="方正仿宋_GBK" w:hAnsi="宋体" w:eastAsia="方正仿宋_GBK"/>
          <w:color w:val="000000"/>
          <w:sz w:val="24"/>
          <w:szCs w:val="24"/>
        </w:rPr>
      </w:pPr>
      <w:bookmarkStart w:id="140" w:name="_Toc25177"/>
      <w:bookmarkStart w:id="141" w:name="_Toc25228"/>
      <w:bookmarkStart w:id="142" w:name="_Toc16261"/>
      <w:bookmarkStart w:id="143" w:name="_Toc54718205"/>
      <w:r>
        <w:rPr>
          <w:rFonts w:hint="eastAsia" w:ascii="方正仿宋_GBK" w:hAnsi="宋体" w:eastAsia="方正仿宋_GBK"/>
          <w:color w:val="000000"/>
          <w:sz w:val="24"/>
          <w:szCs w:val="24"/>
        </w:rPr>
        <w:t>（一）合同价格即合同总价。</w:t>
      </w:r>
      <w:bookmarkEnd w:id="140"/>
    </w:p>
    <w:p>
      <w:pPr>
        <w:snapToGrid w:val="0"/>
        <w:spacing w:line="400" w:lineRule="exact"/>
        <w:ind w:firstLine="480" w:firstLineChars="200"/>
        <w:rPr>
          <w:rFonts w:hint="eastAsia" w:ascii="方正仿宋_GBK" w:hAnsi="宋体" w:eastAsia="方正仿宋_GBK"/>
          <w:color w:val="000000"/>
          <w:sz w:val="24"/>
          <w:szCs w:val="24"/>
        </w:rPr>
      </w:pPr>
      <w:bookmarkStart w:id="144" w:name="_Toc3890"/>
      <w:r>
        <w:rPr>
          <w:rFonts w:hint="eastAsia" w:ascii="方正仿宋_GBK" w:hAnsi="宋体" w:eastAsia="方正仿宋_GBK"/>
          <w:color w:val="000000"/>
          <w:sz w:val="24"/>
          <w:szCs w:val="24"/>
        </w:rPr>
        <w:t>（二）合同价格包括合同货物、技术资料、合同货物的税费、运杂费、保险费、包装费、装卸费及与货物有关的供方应纳的税费，所有税费由乙方负担。</w:t>
      </w:r>
      <w:bookmarkEnd w:id="144"/>
    </w:p>
    <w:p>
      <w:pPr>
        <w:snapToGrid w:val="0"/>
        <w:spacing w:line="400" w:lineRule="exact"/>
        <w:ind w:firstLine="480" w:firstLineChars="200"/>
        <w:rPr>
          <w:rFonts w:hint="eastAsia" w:ascii="方正仿宋_GBK" w:hAnsi="宋体" w:eastAsia="方正仿宋_GBK"/>
          <w:color w:val="000000"/>
          <w:sz w:val="24"/>
          <w:szCs w:val="24"/>
        </w:rPr>
      </w:pPr>
      <w:bookmarkStart w:id="145" w:name="_Toc19296"/>
      <w:r>
        <w:rPr>
          <w:rFonts w:hint="eastAsia" w:ascii="方正仿宋_GBK" w:hAnsi="宋体" w:eastAsia="方正仿宋_GBK"/>
          <w:color w:val="000000"/>
          <w:sz w:val="24"/>
          <w:szCs w:val="24"/>
        </w:rPr>
        <w:t>（三）合同货物单价为不变价。</w:t>
      </w:r>
      <w:bookmarkEnd w:id="145"/>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141"/>
      <w:bookmarkEnd w:id="142"/>
      <w:bookmarkEnd w:id="143"/>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46" w:name="_Toc8161"/>
      <w:r>
        <w:rPr>
          <w:rFonts w:hint="eastAsia" w:ascii="微软雅黑" w:hAnsi="微软雅黑" w:eastAsia="微软雅黑" w:cs="微软雅黑"/>
          <w:color w:val="000000" w:themeColor="text1"/>
          <w:sz w:val="24"/>
          <w:szCs w:val="24"/>
          <w14:textFill>
            <w14:solidFill>
              <w14:schemeClr w14:val="tx1"/>
            </w14:solidFill>
          </w14:textFill>
        </w:rPr>
        <w:t>（一）本合同范围的</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，应由乙方直接供应，不得转让他人供应；</w:t>
      </w:r>
      <w:bookmarkEnd w:id="146"/>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47" w:name="_Toc26926"/>
      <w:r>
        <w:rPr>
          <w:rFonts w:hint="eastAsia" w:ascii="微软雅黑" w:hAnsi="微软雅黑" w:eastAsia="微软雅黑" w:cs="微软雅黑"/>
          <w:color w:val="000000" w:themeColor="text1"/>
          <w:sz w:val="24"/>
          <w:szCs w:val="24"/>
          <w14:textFill>
            <w14:solidFill>
              <w14:schemeClr w14:val="tx1"/>
            </w14:solidFill>
          </w14:textFill>
        </w:rPr>
        <w:t>（二）非经甲方书面同意，乙方不得将本合同范围的</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全部或部分分包给他人供应；</w:t>
      </w:r>
      <w:bookmarkEnd w:id="147"/>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48" w:name="_Toc11245"/>
      <w:r>
        <w:rPr>
          <w:rFonts w:hint="eastAsia" w:ascii="微软雅黑" w:hAnsi="微软雅黑" w:eastAsia="微软雅黑" w:cs="微软雅黑"/>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148"/>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49" w:name="_Toc16211"/>
      <w:bookmarkStart w:id="150" w:name="_Toc54718206"/>
      <w:bookmarkStart w:id="151" w:name="_Toc29617"/>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49"/>
      <w:bookmarkEnd w:id="150"/>
      <w:bookmarkEnd w:id="151"/>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52" w:name="_Toc21178"/>
      <w:r>
        <w:rPr>
          <w:rFonts w:hint="eastAsia" w:ascii="微软雅黑" w:hAnsi="微软雅黑" w:eastAsia="微软雅黑" w:cs="微软雅黑"/>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）如在使用过程中</w:t>
      </w:r>
      <w:r>
        <w:rPr>
          <w:rFonts w:hint="eastAsia" w:ascii="微软雅黑" w:hAnsi="微软雅黑" w:eastAsia="微软雅黑" w:cs="微软雅黑"/>
          <w:color w:val="000000" w:themeColor="text1"/>
          <w:sz w:val="24"/>
          <w:szCs w:val="24"/>
          <w:lang w:eastAsia="zh-CN"/>
          <w14:textFill>
            <w14:solidFill>
              <w14:schemeClr w14:val="tx1"/>
            </w14:solidFill>
          </w14:textFill>
        </w:rPr>
        <w:t>出现争议</w:t>
      </w:r>
      <w:r>
        <w:rPr>
          <w:rFonts w:hint="eastAsia" w:ascii="微软雅黑" w:hAnsi="微软雅黑" w:eastAsia="微软雅黑" w:cs="微软雅黑"/>
          <w:color w:val="000000" w:themeColor="text1"/>
          <w:sz w:val="24"/>
          <w:szCs w:val="24"/>
          <w14:textFill>
            <w14:solidFill>
              <w14:schemeClr w14:val="tx1"/>
            </w14:solidFill>
          </w14:textFill>
        </w:rPr>
        <w:t>问题，乙方应同本项目“第</w:t>
      </w:r>
      <w:r>
        <w:rPr>
          <w:rFonts w:hint="eastAsia" w:ascii="微软雅黑" w:hAnsi="微软雅黑" w:eastAsia="微软雅黑" w:cs="微软雅黑"/>
          <w:color w:val="000000" w:themeColor="text1"/>
          <w:sz w:val="24"/>
          <w:szCs w:val="24"/>
          <w:lang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篇 项目商务要求”对质量保证及售后服务内容的约定。</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合同</w:t>
      </w:r>
      <w:r>
        <w:rPr>
          <w:rFonts w:hint="eastAsia" w:ascii="微软雅黑" w:hAnsi="微软雅黑" w:eastAsia="微软雅黑" w:cs="微软雅黑"/>
          <w:color w:val="000000" w:themeColor="text1"/>
          <w:sz w:val="24"/>
          <w:szCs w:val="24"/>
          <w14:textFill>
            <w14:solidFill>
              <w14:schemeClr w14:val="tx1"/>
            </w14:solidFill>
          </w14:textFill>
        </w:rPr>
        <w:t>期内，</w:t>
      </w:r>
      <w:r>
        <w:rPr>
          <w:rFonts w:hint="eastAsia" w:ascii="微软雅黑" w:hAnsi="微软雅黑" w:eastAsia="微软雅黑" w:cs="微软雅黑"/>
          <w:color w:val="000000" w:themeColor="text1"/>
          <w:sz w:val="24"/>
          <w:szCs w:val="24"/>
          <w:lang w:eastAsia="zh-CN"/>
          <w14:textFill>
            <w14:solidFill>
              <w14:schemeClr w14:val="tx1"/>
            </w14:solidFill>
          </w14:textFill>
        </w:rPr>
        <w:t>在服务过程中出现的</w:t>
      </w:r>
      <w:r>
        <w:rPr>
          <w:rFonts w:hint="eastAsia" w:ascii="微软雅黑" w:hAnsi="微软雅黑" w:eastAsia="微软雅黑" w:cs="微软雅黑"/>
          <w:color w:val="000000" w:themeColor="text1"/>
          <w:sz w:val="24"/>
          <w:szCs w:val="24"/>
          <w14:textFill>
            <w14:solidFill>
              <w14:schemeClr w14:val="tx1"/>
            </w14:solidFill>
          </w14:textFill>
        </w:rPr>
        <w:t>安全问题</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乙方负责处理解决并承担一切费用。</w:t>
      </w:r>
      <w:bookmarkEnd w:id="152"/>
      <w:bookmarkStart w:id="153" w:name="_Toc25521"/>
      <w:bookmarkStart w:id="154" w:name="_Toc54718207"/>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5" w:name="_Toc19065"/>
      <w:r>
        <w:rPr>
          <w:rFonts w:hint="eastAsia" w:ascii="微软雅黑" w:hAnsi="微软雅黑" w:eastAsia="微软雅黑" w:cs="微软雅黑"/>
          <w:color w:val="000000" w:themeColor="text1"/>
          <w:sz w:val="24"/>
          <w:szCs w:val="24"/>
          <w14:textFill>
            <w14:solidFill>
              <w14:schemeClr w14:val="tx1"/>
            </w14:solidFill>
          </w14:textFill>
        </w:rPr>
        <w:t>六、付款</w:t>
      </w:r>
      <w:bookmarkEnd w:id="153"/>
      <w:bookmarkEnd w:id="154"/>
      <w:bookmarkEnd w:id="155"/>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6" w:name="_Toc23183"/>
      <w:r>
        <w:rPr>
          <w:rFonts w:hint="eastAsia" w:ascii="微软雅黑" w:hAnsi="微软雅黑" w:eastAsia="微软雅黑" w:cs="微软雅黑"/>
          <w:color w:val="000000" w:themeColor="text1"/>
          <w:sz w:val="24"/>
          <w:szCs w:val="24"/>
          <w14:textFill>
            <w14:solidFill>
              <w14:schemeClr w14:val="tx1"/>
            </w14:solidFill>
          </w14:textFill>
        </w:rPr>
        <w:t>（一）本合同使用货币币制如未作特别说明均为人民币。</w:t>
      </w:r>
      <w:bookmarkEnd w:id="156"/>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7" w:name="_Toc8880"/>
      <w:r>
        <w:rPr>
          <w:rFonts w:hint="eastAsia" w:ascii="微软雅黑" w:hAnsi="微软雅黑" w:eastAsia="微软雅黑" w:cs="微软雅黑"/>
          <w:color w:val="000000" w:themeColor="text1"/>
          <w:sz w:val="24"/>
          <w:szCs w:val="24"/>
          <w14:textFill>
            <w14:solidFill>
              <w14:schemeClr w14:val="tx1"/>
            </w14:solidFill>
          </w14:textFill>
        </w:rPr>
        <w:t>（二）付款方式：银行转账。</w:t>
      </w:r>
      <w:bookmarkEnd w:id="157"/>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8" w:name="_Toc28037"/>
      <w:r>
        <w:rPr>
          <w:rFonts w:hint="eastAsia" w:ascii="微软雅黑" w:hAnsi="微软雅黑" w:eastAsia="微软雅黑" w:cs="微软雅黑"/>
          <w:color w:val="000000" w:themeColor="text1"/>
          <w:sz w:val="24"/>
          <w:szCs w:val="24"/>
          <w14:textFill>
            <w14:solidFill>
              <w14:schemeClr w14:val="tx1"/>
            </w14:solidFill>
          </w14:textFill>
        </w:rPr>
        <w:t>（三）付款方法：同本项目“第四篇 项目商务要求”中关于付款方式的约定。</w:t>
      </w:r>
      <w:bookmarkEnd w:id="158"/>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9" w:name="_Toc54718210"/>
      <w:bookmarkStart w:id="160" w:name="_Toc9141"/>
      <w:bookmarkStart w:id="161" w:name="_Toc10058"/>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159"/>
      <w:bookmarkEnd w:id="160"/>
      <w:bookmarkEnd w:id="161"/>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62" w:name="_Toc11938"/>
      <w:r>
        <w:rPr>
          <w:rFonts w:hint="eastAsia" w:ascii="微软雅黑" w:hAnsi="微软雅黑" w:eastAsia="微软雅黑" w:cs="微软雅黑"/>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62"/>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63" w:name="_Toc17287"/>
      <w:r>
        <w:rPr>
          <w:rFonts w:hint="eastAsia" w:ascii="微软雅黑" w:hAnsi="微软雅黑" w:eastAsia="微软雅黑" w:cs="微软雅黑"/>
          <w:color w:val="000000" w:themeColor="text1"/>
          <w:sz w:val="24"/>
          <w:szCs w:val="24"/>
          <w14:textFill>
            <w14:solidFill>
              <w14:schemeClr w14:val="tx1"/>
            </w14:solidFill>
          </w14:textFill>
        </w:rPr>
        <w:t>（二）若涉及软件开发等服务类项目知识产权的，知识产权归医院所有。</w:t>
      </w:r>
      <w:bookmarkEnd w:id="163"/>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64" w:name="_Toc31804"/>
      <w:bookmarkStart w:id="165" w:name="_Toc20365"/>
      <w:bookmarkStart w:id="166" w:name="_Toc54718211"/>
      <w:r>
        <w:rPr>
          <w:rFonts w:hint="eastAsia" w:ascii="微软雅黑" w:hAnsi="微软雅黑" w:eastAsia="微软雅黑" w:cs="微软雅黑"/>
          <w:color w:val="000000" w:themeColor="text1"/>
          <w:sz w:val="24"/>
          <w:szCs w:val="24"/>
          <w:lang w:eastAsia="zh-CN"/>
          <w14:textFill>
            <w14:solidFill>
              <w14:schemeClr w14:val="tx1"/>
            </w14:solidFill>
          </w14:textFill>
        </w:rPr>
        <w:t>八</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64"/>
      <w:bookmarkEnd w:id="165"/>
      <w:bookmarkEnd w:id="166"/>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67" w:name="_Toc5382"/>
      <w:r>
        <w:rPr>
          <w:rFonts w:hint="eastAsia" w:ascii="微软雅黑" w:hAnsi="微软雅黑" w:eastAsia="微软雅黑" w:cs="微软雅黑"/>
          <w:color w:val="000000" w:themeColor="text1"/>
          <w:sz w:val="24"/>
          <w:szCs w:val="24"/>
          <w14:textFill>
            <w14:solidFill>
              <w14:schemeClr w14:val="tx1"/>
            </w14:solidFill>
          </w14:textFill>
        </w:rPr>
        <w:t>（一）当事人友好协商达成一致</w:t>
      </w:r>
      <w:bookmarkEnd w:id="167"/>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68" w:name="_Toc29926"/>
      <w:r>
        <w:rPr>
          <w:rFonts w:hint="eastAsia" w:ascii="微软雅黑" w:hAnsi="微软雅黑" w:eastAsia="微软雅黑" w:cs="微软雅黑"/>
          <w:color w:val="000000" w:themeColor="text1"/>
          <w:sz w:val="24"/>
          <w:szCs w:val="24"/>
          <w14:textFill>
            <w14:solidFill>
              <w14:schemeClr w14:val="tx1"/>
            </w14:solidFill>
          </w14:textFill>
        </w:rPr>
        <w:t>（二）在60天内当事人协商不能达成协议的，可提请医院当地仲裁机构仲裁。</w:t>
      </w:r>
      <w:bookmarkEnd w:id="168"/>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69" w:name="_Toc18601"/>
      <w:bookmarkStart w:id="170" w:name="_Toc21645"/>
      <w:bookmarkStart w:id="171" w:name="_Toc54718212"/>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69"/>
      <w:bookmarkEnd w:id="170"/>
      <w:bookmarkEnd w:id="171"/>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2" w:name="_Toc54718213"/>
      <w:r>
        <w:rPr>
          <w:rFonts w:hint="eastAsia" w:ascii="微软雅黑" w:hAnsi="微软雅黑" w:eastAsia="微软雅黑" w:cs="微软雅黑"/>
          <w:color w:val="000000" w:themeColor="text1"/>
          <w:sz w:val="24"/>
          <w:szCs w:val="24"/>
          <w14:textFill>
            <w14:solidFill>
              <w14:schemeClr w14:val="tx1"/>
            </w14:solidFill>
          </w14:textFill>
        </w:rPr>
        <w:t>按《中华人民共和国民法典》有关条款，或由供需双方约定。</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3" w:name="_Toc6475"/>
      <w:bookmarkStart w:id="174" w:name="_Toc1382"/>
      <w:r>
        <w:rPr>
          <w:rFonts w:hint="eastAsia" w:ascii="微软雅黑" w:hAnsi="微软雅黑" w:eastAsia="微软雅黑" w:cs="微软雅黑"/>
          <w:color w:val="000000" w:themeColor="text1"/>
          <w:sz w:val="24"/>
          <w:szCs w:val="24"/>
          <w14:textFill>
            <w14:solidFill>
              <w14:schemeClr w14:val="tx1"/>
            </w14:solidFill>
          </w14:textFill>
        </w:rPr>
        <w:t>十、合同生效及其它</w:t>
      </w:r>
      <w:bookmarkEnd w:id="172"/>
      <w:bookmarkEnd w:id="173"/>
      <w:bookmarkEnd w:id="174"/>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5" w:name="_Toc7071"/>
      <w:r>
        <w:rPr>
          <w:rFonts w:hint="eastAsia" w:ascii="微软雅黑" w:hAnsi="微软雅黑" w:eastAsia="微软雅黑" w:cs="微软雅黑"/>
          <w:color w:val="000000" w:themeColor="text1"/>
          <w:sz w:val="24"/>
          <w:szCs w:val="24"/>
          <w14:textFill>
            <w14:solidFill>
              <w14:schemeClr w14:val="tx1"/>
            </w14:solidFill>
          </w14:textFill>
        </w:rPr>
        <w:t>（一）合同生效及其效力应符合《中华人民共和国民法典》有关规定。</w:t>
      </w:r>
      <w:bookmarkEnd w:id="175"/>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6" w:name="_Toc26923"/>
      <w:r>
        <w:rPr>
          <w:rFonts w:hint="eastAsia" w:ascii="微软雅黑" w:hAnsi="微软雅黑" w:eastAsia="微软雅黑" w:cs="微软雅黑"/>
          <w:color w:val="000000" w:themeColor="text1"/>
          <w:sz w:val="24"/>
          <w:szCs w:val="24"/>
          <w14:textFill>
            <w14:solidFill>
              <w14:schemeClr w14:val="tx1"/>
            </w14:solidFill>
          </w14:textFill>
        </w:rPr>
        <w:t>（二）合同应经当事人法定代表人或委托代理人签字，加盖双方合同专用章或公章。</w:t>
      </w:r>
      <w:bookmarkEnd w:id="176"/>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7" w:name="_Toc21580"/>
      <w:r>
        <w:rPr>
          <w:rFonts w:hint="eastAsia" w:ascii="微软雅黑" w:hAnsi="微软雅黑" w:eastAsia="微软雅黑" w:cs="微软雅黑"/>
          <w:color w:val="000000" w:themeColor="text1"/>
          <w:sz w:val="24"/>
          <w:szCs w:val="24"/>
          <w14:textFill>
            <w14:solidFill>
              <w14:schemeClr w14:val="tx1"/>
            </w14:solidFill>
          </w14:textFill>
        </w:rPr>
        <w:t>（三）合同所包括附件，是合同不可分割的一部分，具有同等法法律效力。</w:t>
      </w:r>
      <w:bookmarkEnd w:id="177"/>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8" w:name="_Toc28233"/>
      <w:r>
        <w:rPr>
          <w:rFonts w:hint="eastAsia" w:ascii="微软雅黑" w:hAnsi="微软雅黑" w:eastAsia="微软雅黑" w:cs="微软雅黑"/>
          <w:color w:val="000000" w:themeColor="text1"/>
          <w:sz w:val="24"/>
          <w:szCs w:val="24"/>
          <w14:textFill>
            <w14:solidFill>
              <w14:schemeClr w14:val="tx1"/>
            </w14:solidFill>
          </w14:textFill>
        </w:rPr>
        <w:t>（四）合同需提供担保的，按《中华人民共和国担保法》规定执行。</w:t>
      </w:r>
      <w:bookmarkEnd w:id="178"/>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9" w:name="_Toc18983"/>
      <w:r>
        <w:rPr>
          <w:rFonts w:hint="eastAsia" w:ascii="微软雅黑" w:hAnsi="微软雅黑" w:eastAsia="微软雅黑" w:cs="微软雅黑"/>
          <w:color w:val="000000" w:themeColor="text1"/>
          <w:sz w:val="24"/>
          <w:szCs w:val="24"/>
          <w14:textFill>
            <w14:solidFill>
              <w14:schemeClr w14:val="tx1"/>
            </w14:solidFill>
          </w14:textFill>
        </w:rPr>
        <w:t>（五）本合同条件未尽事宜依照《中华人民共和国民法典》，由供需双方共同协商确定。</w:t>
      </w:r>
      <w:bookmarkEnd w:id="179"/>
    </w:p>
    <w:p>
      <w:pPr>
        <w:snapToGrid w:val="0"/>
        <w:spacing w:line="400" w:lineRule="exact"/>
        <w:rPr>
          <w:rFonts w:hint="eastAsia" w:ascii="微软雅黑" w:hAnsi="微软雅黑" w:eastAsia="微软雅黑" w:cs="微软雅黑"/>
          <w:color w:val="000000" w:themeColor="text1"/>
          <w:sz w:val="24"/>
          <w:szCs w:val="20"/>
          <w14:textFill>
            <w14:solidFill>
              <w14:schemeClr w14:val="tx1"/>
            </w14:solidFill>
          </w14:textFill>
        </w:rPr>
      </w:pPr>
    </w:p>
    <w:p>
      <w:pPr>
        <w:snapToGrid w:val="0"/>
        <w:spacing w:line="400" w:lineRule="exact"/>
        <w:ind w:firstLine="0" w:firstLineChars="0"/>
        <w:rPr>
          <w:rFonts w:hint="eastAsia" w:ascii="微软雅黑" w:hAnsi="微软雅黑" w:eastAsia="微软雅黑" w:cs="微软雅黑"/>
          <w:color w:val="000000" w:themeColor="text1"/>
          <w:sz w:val="24"/>
          <w:szCs w:val="20"/>
          <w14:textFill>
            <w14:solidFill>
              <w14:schemeClr w14:val="tx1"/>
            </w14:solidFill>
          </w14:textFill>
        </w:rPr>
        <w:sectPr>
          <w:pgSz w:w="11907" w:h="16840"/>
          <w:pgMar w:top="1134" w:right="1191" w:bottom="1134" w:left="1304" w:header="851" w:footer="992" w:gutter="0"/>
          <w:cols w:space="720" w:num="1"/>
          <w:docGrid w:linePitch="380" w:charSpace="-5735"/>
        </w:sectPr>
      </w:pPr>
    </w:p>
    <w:bookmarkEnd w:id="125"/>
    <w:bookmarkEnd w:id="126"/>
    <w:p>
      <w:pPr>
        <w:pStyle w:val="3"/>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80" w:name="_Hlt41879464"/>
      <w:bookmarkEnd w:id="180"/>
      <w:bookmarkStart w:id="181" w:name="_Toc32408"/>
      <w:bookmarkStart w:id="182" w:name="_Toc26367"/>
      <w:bookmarkStart w:id="183" w:name="_Toc12789072"/>
      <w:bookmarkStart w:id="184" w:name="_Toc485108795"/>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81"/>
      <w:bookmarkEnd w:id="182"/>
      <w:bookmarkEnd w:id="183"/>
      <w:bookmarkEnd w:id="184"/>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85" w:name="_Toc7751"/>
      <w:bookmarkStart w:id="186" w:name="_Toc2744"/>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85"/>
      <w:bookmarkEnd w:id="186"/>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（一）比选报价函</w:t>
      </w:r>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（二）明细报价表</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87" w:name="_Toc4330"/>
      <w:bookmarkStart w:id="188" w:name="_Toc5939"/>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87"/>
      <w:bookmarkEnd w:id="188"/>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89" w:name="_Toc22329"/>
      <w:bookmarkStart w:id="190" w:name="_Toc1705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89"/>
      <w:bookmarkEnd w:id="190"/>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91" w:name="_Toc38358147"/>
      <w:bookmarkStart w:id="192" w:name="OLE_LINK11"/>
      <w:bookmarkStart w:id="193" w:name="OLE_LINK10"/>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91"/>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（三）其它优惠承诺</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94" w:name="_Toc21643"/>
      <w:bookmarkStart w:id="195" w:name="_Toc16756"/>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94"/>
      <w:bookmarkEnd w:id="195"/>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（一）营业执照（副本）或事业单位法人证书（副本）复印件</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（二）组织机构代码证复印件</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（三）法定代表人身份证明书（格式）</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（四）法定代表人授权委托书（格式）</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highlight w:val="yellow"/>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（五）2020或2021年度财务状况报告（表）或其基本开户银行出具的资信证明复印件，本年度新成立或成立不满一年的组织和自然人无法提供财务状况报告（表）的，可提供银行出具的资信证明复印件。</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（六）书面声明（格式）</w:t>
      </w:r>
    </w:p>
    <w:p>
      <w:pPr>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（七）税务登记证（副本）复印件</w:t>
      </w:r>
    </w:p>
    <w:p>
      <w:pPr>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pageBreakBefore w:val="0"/>
        <w:widowControl w:val="0"/>
        <w:kinsoku/>
        <w:wordWrap/>
        <w:overflowPunct/>
        <w:topLinePunct w:val="0"/>
        <w:autoSpaceDE/>
        <w:autoSpaceDN/>
        <w:bidi w:val="0"/>
        <w:adjustRightInd/>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（九）特定资格条件证书或证明文件（如果有）</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96" w:name="_Toc13264"/>
      <w:bookmarkStart w:id="197" w:name="_Toc7630"/>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96"/>
      <w:bookmarkEnd w:id="197"/>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（一）其他资料</w:t>
      </w:r>
    </w:p>
    <w:bookmarkEnd w:id="192"/>
    <w:bookmarkEnd w:id="193"/>
    <w:p>
      <w:pPr>
        <w:pageBreakBefore w:val="0"/>
        <w:widowControl w:val="0"/>
        <w:kinsoku/>
        <w:wordWrap/>
        <w:overflowPunct/>
        <w:topLinePunct w:val="0"/>
        <w:autoSpaceDE/>
        <w:autoSpaceDN/>
        <w:bidi w:val="0"/>
        <w:adjustRightInd/>
        <w:spacing w:line="440" w:lineRule="exact"/>
        <w:ind w:firstLine="720" w:firstLineChars="3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1.其他与项目有关的资料</w:t>
      </w:r>
    </w:p>
    <w:p>
      <w:pPr>
        <w:snapToGrid w:val="0"/>
        <w:spacing w:line="360" w:lineRule="auto"/>
        <w:rPr>
          <w:rFonts w:hint="eastAsia" w:ascii="微软雅黑" w:hAnsi="微软雅黑" w:eastAsia="微软雅黑" w:cs="微软雅黑"/>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cols w:space="720" w:num="1"/>
          <w:docGrid w:linePitch="380" w:charSpace="-5735"/>
        </w:sectPr>
      </w:pPr>
    </w:p>
    <w:p>
      <w:pPr>
        <w:pStyle w:val="181"/>
        <w:numPr>
          <w:ilvl w:val="0"/>
          <w:numId w:val="14"/>
        </w:numPr>
        <w:ind w:firstLineChars="0"/>
        <w:rPr>
          <w:rFonts w:hint="eastAsia" w:ascii="微软雅黑" w:hAnsi="微软雅黑" w:eastAsia="微软雅黑" w:cs="微软雅黑"/>
          <w:b/>
          <w:color w:val="000000" w:themeColor="text1"/>
          <w14:textFill>
            <w14:solidFill>
              <w14:schemeClr w14:val="tx1"/>
            </w14:solidFill>
          </w14:textFill>
        </w:rPr>
      </w:pPr>
      <w:bookmarkStart w:id="198" w:name="_Toc480979018"/>
      <w:bookmarkStart w:id="199" w:name="_Toc313008356"/>
      <w:bookmarkStart w:id="200" w:name="_Toc342913419"/>
      <w:bookmarkStart w:id="201" w:name="_Toc313888360"/>
      <w:bookmarkStart w:id="202" w:name="_Toc485108796"/>
      <w:bookmarkStart w:id="203" w:name="_Toc283382454"/>
      <w:bookmarkStart w:id="204" w:name="_Toc12789073"/>
      <w:r>
        <w:rPr>
          <w:rFonts w:hint="eastAsia" w:ascii="微软雅黑" w:hAnsi="微软雅黑" w:eastAsia="微软雅黑" w:cs="微软雅黑"/>
          <w:b/>
          <w:color w:val="000000" w:themeColor="text1"/>
          <w14:textFill>
            <w14:solidFill>
              <w14:schemeClr w14:val="tx1"/>
            </w14:solidFill>
          </w14:textFill>
        </w:rPr>
        <w:t>经济部分</w:t>
      </w:r>
      <w:bookmarkEnd w:id="198"/>
      <w:bookmarkEnd w:id="199"/>
      <w:bookmarkEnd w:id="200"/>
      <w:bookmarkEnd w:id="201"/>
      <w:bookmarkEnd w:id="202"/>
    </w:p>
    <w:p>
      <w:pPr>
        <w:pStyle w:val="181"/>
        <w:ind w:left="450" w:firstLine="0" w:firstLineChars="0"/>
        <w:rPr>
          <w:rFonts w:hint="eastAsia" w:ascii="微软雅黑" w:hAnsi="微软雅黑" w:eastAsia="微软雅黑" w:cs="微软雅黑"/>
          <w:b/>
          <w:color w:val="000000" w:themeColor="text1"/>
          <w14:textFill>
            <w14:solidFill>
              <w14:schemeClr w14:val="tx1"/>
            </w14:solidFill>
          </w14:textFill>
        </w:rPr>
      </w:pPr>
    </w:p>
    <w:bookmarkEnd w:id="203"/>
    <w:bookmarkEnd w:id="204"/>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hint="eastAsia" w:ascii="微软雅黑" w:hAnsi="微软雅黑" w:eastAsia="微软雅黑" w:cs="微软雅黑"/>
          <w:b/>
          <w:color w:val="000000" w:themeColor="text1"/>
          <w:sz w:val="28"/>
          <w:szCs w:val="28"/>
          <w14:textFill>
            <w14:solidFill>
              <w14:schemeClr w14:val="tx1"/>
            </w14:solidFill>
          </w14:textFill>
        </w:rPr>
      </w:pPr>
      <w:bookmarkStart w:id="205" w:name="_Toc10350"/>
      <w:r>
        <w:rPr>
          <w:rFonts w:hint="eastAsia" w:ascii="微软雅黑" w:hAnsi="微软雅黑" w:eastAsia="微软雅黑" w:cs="微软雅黑"/>
          <w:b/>
          <w:color w:val="000000" w:themeColor="text1"/>
          <w:sz w:val="28"/>
          <w:szCs w:val="28"/>
          <w14:textFill>
            <w14:solidFill>
              <w14:schemeClr w14:val="tx1"/>
            </w14:solidFill>
          </w14:textFill>
        </w:rPr>
        <w:t>比选报价函</w:t>
      </w:r>
      <w:bookmarkEnd w:id="205"/>
    </w:p>
    <w:p>
      <w:pPr>
        <w:tabs>
          <w:tab w:val="left" w:pos="6300"/>
        </w:tabs>
        <w:snapToGrid w:val="0"/>
        <w:spacing w:line="312"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u w:val="single"/>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1、愿意按照比选文件中的一切要求，提供本项目的技术服务、商务需求，初始报价见</w:t>
      </w:r>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分项报价表。</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2、我方现提交的响应文件为：响应文件正本</w:t>
      </w:r>
      <w:r>
        <w:rPr>
          <w:rFonts w:hint="eastAsia" w:ascii="微软雅黑" w:hAnsi="微软雅黑" w:eastAsia="微软雅黑" w:cs="微软雅黑"/>
          <w:color w:val="000000" w:themeColor="text1"/>
          <w:sz w:val="24"/>
          <w:szCs w:val="24"/>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4"/>
          <w14:textFill>
            <w14:solidFill>
              <w14:schemeClr w14:val="tx1"/>
            </w14:solidFill>
          </w14:textFill>
        </w:rPr>
        <w:t>份，副本</w:t>
      </w:r>
      <w:r>
        <w:rPr>
          <w:rFonts w:hint="eastAsia" w:ascii="微软雅黑" w:hAnsi="微软雅黑" w:eastAsia="微软雅黑" w:cs="微软雅黑"/>
          <w:color w:val="000000" w:themeColor="text1"/>
          <w:sz w:val="24"/>
          <w:szCs w:val="24"/>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联系人：</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sectPr>
          <w:pgSz w:w="11907" w:h="16840"/>
          <w:pgMar w:top="1134" w:right="1191" w:bottom="1134" w:left="1304" w:header="851" w:footer="992" w:gutter="0"/>
          <w:cols w:space="720" w:num="1"/>
          <w:docGrid w:linePitch="380" w:charSpace="-5735"/>
        </w:sectPr>
      </w:pPr>
      <w:r>
        <w:rPr>
          <w:rFonts w:hint="eastAsia" w:ascii="微软雅黑" w:hAnsi="微软雅黑" w:eastAsia="微软雅黑" w:cs="微软雅黑"/>
          <w:color w:val="000000" w:themeColor="text1"/>
          <w:sz w:val="24"/>
          <w:szCs w:val="24"/>
          <w14:textFill>
            <w14:solidFill>
              <w14:schemeClr w14:val="tx1"/>
            </w14:solidFill>
          </w14:textFill>
        </w:rPr>
        <w:t xml:space="preserve">                               年   月   日</w:t>
      </w:r>
    </w:p>
    <w:p>
      <w:pPr>
        <w:tabs>
          <w:tab w:val="left" w:pos="2895"/>
        </w:tabs>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分项报价明细</w:t>
      </w:r>
      <w:r>
        <w:rPr>
          <w:rFonts w:hint="eastAsia" w:ascii="微软雅黑" w:hAnsi="微软雅黑" w:eastAsia="微软雅黑" w:cs="微软雅黑"/>
          <w:color w:val="000000" w:themeColor="text1"/>
          <w:sz w:val="24"/>
          <w:szCs w:val="24"/>
          <w14:textFill>
            <w14:solidFill>
              <w14:schemeClr w14:val="tx1"/>
            </w14:solidFill>
          </w14:textFill>
        </w:rPr>
        <w:t>表</w:t>
      </w:r>
    </w:p>
    <w:p>
      <w:pPr>
        <w:snapToGrid w:val="0"/>
        <w:spacing w:line="360" w:lineRule="auto"/>
        <w:jc w:val="cente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报价表</w:t>
      </w:r>
      <w:r>
        <w:rPr>
          <w:rFonts w:hint="eastAsia" w:ascii="微软雅黑" w:hAnsi="微软雅黑" w:eastAsia="微软雅黑" w:cs="微软雅黑"/>
          <w:color w:val="000000" w:themeColor="text1"/>
          <w:sz w:val="24"/>
          <w:szCs w:val="24"/>
          <w14:textFill>
            <w14:solidFill>
              <w14:schemeClr w14:val="tx1"/>
            </w14:solidFill>
          </w14:textFill>
        </w:rPr>
        <w:t>（格式自定）</w:t>
      </w:r>
    </w:p>
    <w:p>
      <w:pPr>
        <w:jc w:val="center"/>
        <w:rPr>
          <w:rFonts w:hint="eastAsia" w:ascii="微软雅黑" w:hAnsi="微软雅黑" w:eastAsia="微软雅黑" w:cs="微软雅黑"/>
          <w:b/>
          <w:color w:val="000000" w:themeColor="text1"/>
          <w:sz w:val="28"/>
          <w:szCs w:val="28"/>
          <w14:textFill>
            <w14:solidFill>
              <w14:schemeClr w14:val="tx1"/>
            </w14:solidFill>
          </w14:textFill>
        </w:rPr>
      </w:pPr>
    </w:p>
    <w:p>
      <w:pPr>
        <w:spacing w:line="36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项目名称：扶手安装服务</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sz w:val="24"/>
              </w:rPr>
            </w:pPr>
            <w:r>
              <w:rPr>
                <w:rFonts w:hint="eastAsia" w:ascii="宋体" w:hAnsi="宋体"/>
                <w:sz w:val="24"/>
              </w:rPr>
              <w:t>项目名称</w:t>
            </w:r>
          </w:p>
        </w:tc>
        <w:tc>
          <w:tcPr>
            <w:tcW w:w="2693" w:type="dxa"/>
            <w:vAlign w:val="center"/>
          </w:tcPr>
          <w:p>
            <w:pPr>
              <w:spacing w:line="360" w:lineRule="auto"/>
              <w:jc w:val="center"/>
              <w:rPr>
                <w:rFonts w:ascii="宋体" w:hAnsi="宋体"/>
                <w:sz w:val="24"/>
              </w:rPr>
            </w:pPr>
            <w:r>
              <w:rPr>
                <w:rFonts w:hint="eastAsia" w:ascii="宋体" w:hAnsi="宋体"/>
                <w:sz w:val="24"/>
              </w:rPr>
              <w:t>单价（元</w:t>
            </w:r>
            <w:r>
              <w:rPr>
                <w:rFonts w:hint="eastAsia" w:ascii="宋体" w:hAnsi="宋体"/>
                <w:sz w:val="24"/>
                <w:lang w:val="en-US" w:eastAsia="zh-CN"/>
              </w:rPr>
              <w:t>/米</w:t>
            </w:r>
            <w:r>
              <w:rPr>
                <w:rFonts w:hint="eastAsia" w:ascii="宋体" w:hAnsi="宋体"/>
                <w:sz w:val="24"/>
              </w:rPr>
              <w:t>）</w:t>
            </w:r>
          </w:p>
        </w:tc>
        <w:tc>
          <w:tcPr>
            <w:tcW w:w="2410" w:type="dxa"/>
            <w:vAlign w:val="center"/>
          </w:tcPr>
          <w:p>
            <w:pPr>
              <w:spacing w:line="360" w:lineRule="auto"/>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799" w:type="dxa"/>
            <w:vAlign w:val="center"/>
          </w:tcPr>
          <w:p>
            <w:pPr>
              <w:spacing w:line="360" w:lineRule="auto"/>
              <w:jc w:val="center"/>
              <w:rPr>
                <w:rFonts w:ascii="宋体" w:hAnsi="宋体"/>
                <w:sz w:val="24"/>
              </w:rPr>
            </w:pPr>
            <w:r>
              <w:rPr>
                <w:rFonts w:hint="eastAsia" w:ascii="宋体" w:hAnsi="宋体"/>
                <w:sz w:val="24"/>
              </w:rPr>
              <w:t>不锈钢扶手</w:t>
            </w:r>
          </w:p>
        </w:tc>
        <w:tc>
          <w:tcPr>
            <w:tcW w:w="2693" w:type="dxa"/>
            <w:vAlign w:val="center"/>
          </w:tcPr>
          <w:p>
            <w:pPr>
              <w:spacing w:line="360" w:lineRule="auto"/>
              <w:jc w:val="center"/>
              <w:rPr>
                <w:rFonts w:ascii="宋体" w:hAnsi="宋体"/>
                <w:sz w:val="24"/>
              </w:rPr>
            </w:pPr>
          </w:p>
        </w:tc>
        <w:tc>
          <w:tcPr>
            <w:tcW w:w="2410"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799" w:type="dxa"/>
            <w:vAlign w:val="center"/>
          </w:tcPr>
          <w:p>
            <w:pPr>
              <w:spacing w:line="360" w:lineRule="auto"/>
              <w:jc w:val="center"/>
              <w:rPr>
                <w:rFonts w:ascii="宋体" w:hAnsi="宋体"/>
                <w:sz w:val="24"/>
              </w:rPr>
            </w:pPr>
            <w:r>
              <w:rPr>
                <w:rFonts w:hint="eastAsia" w:ascii="宋体" w:hAnsi="宋体"/>
                <w:sz w:val="24"/>
              </w:rPr>
              <w:t>医用扶手</w:t>
            </w:r>
          </w:p>
        </w:tc>
        <w:tc>
          <w:tcPr>
            <w:tcW w:w="2693" w:type="dxa"/>
            <w:vAlign w:val="center"/>
          </w:tcPr>
          <w:p>
            <w:pPr>
              <w:spacing w:line="360" w:lineRule="auto"/>
              <w:jc w:val="center"/>
              <w:rPr>
                <w:rFonts w:ascii="宋体" w:hAnsi="宋体"/>
                <w:sz w:val="24"/>
              </w:rPr>
            </w:pPr>
          </w:p>
        </w:tc>
        <w:tc>
          <w:tcPr>
            <w:tcW w:w="2410"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sz w:val="24"/>
              </w:rPr>
            </w:pPr>
            <w:r>
              <w:rPr>
                <w:rFonts w:hint="eastAsia" w:ascii="宋体" w:hAnsi="宋体"/>
                <w:sz w:val="24"/>
              </w:rPr>
              <w:t>工   期</w:t>
            </w:r>
          </w:p>
        </w:tc>
        <w:tc>
          <w:tcPr>
            <w:tcW w:w="5103" w:type="dxa"/>
            <w:gridSpan w:val="2"/>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sz w:val="24"/>
              </w:rPr>
            </w:pPr>
            <w:r>
              <w:rPr>
                <w:rFonts w:hint="eastAsia" w:ascii="宋体" w:hAnsi="宋体"/>
                <w:sz w:val="24"/>
              </w:rPr>
              <w:t>质保期</w:t>
            </w:r>
          </w:p>
        </w:tc>
        <w:tc>
          <w:tcPr>
            <w:tcW w:w="5103" w:type="dxa"/>
            <w:gridSpan w:val="2"/>
            <w:vAlign w:val="center"/>
          </w:tcPr>
          <w:p>
            <w:pPr>
              <w:spacing w:line="360" w:lineRule="auto"/>
              <w:jc w:val="center"/>
              <w:rPr>
                <w:rFonts w:ascii="宋体" w:hAnsi="宋体"/>
                <w:sz w:val="24"/>
              </w:rPr>
            </w:pPr>
          </w:p>
        </w:tc>
      </w:tr>
    </w:tbl>
    <w:p>
      <w:pPr>
        <w:spacing w:line="360" w:lineRule="auto"/>
        <w:rPr>
          <w:rFonts w:ascii="宋体" w:hAnsi="宋体"/>
          <w:sz w:val="28"/>
          <w:szCs w:val="28"/>
        </w:rPr>
      </w:pPr>
      <w:r>
        <w:rPr>
          <w:rFonts w:hint="eastAsia" w:ascii="宋体" w:hAnsi="宋体"/>
          <w:sz w:val="28"/>
          <w:szCs w:val="28"/>
        </w:rPr>
        <w:t>备注：报价为包干价，包含但不限于材料费、人工费、运输费、搬运费、施工费、保险费、税费等各项费用。</w:t>
      </w:r>
    </w:p>
    <w:p>
      <w:pPr>
        <w:snapToGrid w:val="0"/>
        <w:spacing w:line="500" w:lineRule="exact"/>
        <w:rPr>
          <w:rFonts w:hint="eastAsia" w:ascii="微软雅黑" w:hAnsi="微软雅黑" w:eastAsia="微软雅黑" w:cs="微软雅黑"/>
          <w:color w:val="000000" w:themeColor="text1"/>
          <w:sz w:val="24"/>
          <w:szCs w:val="28"/>
          <w14:textFill>
            <w14:solidFill>
              <w14:schemeClr w14:val="tx1"/>
            </w14:solidFill>
          </w14:textFill>
        </w:rPr>
      </w:pPr>
    </w:p>
    <w:p>
      <w:pPr>
        <w:keepNext/>
        <w:keepLines/>
        <w:spacing w:before="260" w:after="260" w:line="413" w:lineRule="auto"/>
        <w:outlineLvl w:val="9"/>
        <w:rPr>
          <w:rFonts w:hint="eastAsia" w:ascii="微软雅黑" w:hAnsi="微软雅黑" w:eastAsia="微软雅黑" w:cs="微软雅黑"/>
          <w:b/>
          <w:color w:val="000000" w:themeColor="text1"/>
          <w:sz w:val="32"/>
          <w:szCs w:val="20"/>
          <w14:textFill>
            <w14:solidFill>
              <w14:schemeClr w14:val="tx1"/>
            </w14:solidFill>
          </w14:textFill>
        </w:rPr>
      </w:pPr>
    </w:p>
    <w:p>
      <w:pPr>
        <w:snapToGrid w:val="0"/>
        <w:spacing w:line="500" w:lineRule="exact"/>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注：1、请供应商完整填写本表。</w:t>
      </w:r>
    </w:p>
    <w:p>
      <w:pPr>
        <w:snapToGrid w:val="0"/>
        <w:spacing w:line="500" w:lineRule="exact"/>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2、该表可扩展</w:t>
      </w:r>
      <w:bookmarkStart w:id="206" w:name="OLE_LINK2"/>
      <w:bookmarkStart w:id="207" w:name="OLE_LINK1"/>
      <w:r>
        <w:rPr>
          <w:rFonts w:hint="eastAsia" w:ascii="微软雅黑" w:hAnsi="微软雅黑" w:eastAsia="微软雅黑" w:cs="微软雅黑"/>
          <w:color w:val="000000" w:themeColor="text1"/>
          <w:sz w:val="24"/>
          <w:szCs w:val="28"/>
          <w14:textFill>
            <w14:solidFill>
              <w14:schemeClr w14:val="tx1"/>
            </w14:solidFill>
          </w14:textFill>
        </w:rPr>
        <w:t>，并逐页签字或盖章。</w:t>
      </w:r>
      <w:bookmarkEnd w:id="206"/>
      <w:bookmarkEnd w:id="207"/>
    </w:p>
    <w:p>
      <w:pPr>
        <w:spacing w:line="360" w:lineRule="auto"/>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jc w:val="cente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w:t>
      </w:r>
    </w:p>
    <w:p>
      <w:pPr>
        <w:spacing w:line="360" w:lineRule="auto"/>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年     月    日</w:t>
      </w:r>
    </w:p>
    <w:p>
      <w:pPr>
        <w:snapToGrid w:val="0"/>
        <w:spacing w:line="360" w:lineRule="auto"/>
        <w:ind w:firstLine="480" w:firstLineChars="200"/>
        <w:rPr>
          <w:rFonts w:hint="eastAsia" w:ascii="微软雅黑" w:hAnsi="微软雅黑" w:eastAsia="微软雅黑" w:cs="微软雅黑"/>
          <w:color w:val="000000" w:themeColor="text1"/>
          <w:sz w:val="24"/>
          <w:szCs w:val="24"/>
          <w:bdr w:val="single" w:color="auto" w:sz="4" w:space="0"/>
          <w14:textFill>
            <w14:solidFill>
              <w14:schemeClr w14:val="tx1"/>
            </w14:solidFill>
          </w14:textFill>
        </w:rPr>
        <w:sectPr>
          <w:headerReference r:id="rId7" w:type="default"/>
          <w:pgSz w:w="11907" w:h="16840"/>
          <w:pgMar w:top="1134" w:right="1191" w:bottom="1134" w:left="1304" w:header="851" w:footer="992" w:gutter="0"/>
          <w:cols w:space="720" w:num="1"/>
          <w:docGrid w:linePitch="380" w:charSpace="-5735"/>
        </w:sectPr>
      </w:pPr>
    </w:p>
    <w:p>
      <w:pPr>
        <w:rPr>
          <w:rFonts w:hint="eastAsia" w:ascii="微软雅黑" w:hAnsi="微软雅黑" w:eastAsia="微软雅黑" w:cs="微软雅黑"/>
          <w:b/>
          <w:color w:val="000000" w:themeColor="text1"/>
          <w14:textFill>
            <w14:solidFill>
              <w14:schemeClr w14:val="tx1"/>
            </w14:solidFill>
          </w14:textFill>
        </w:rPr>
      </w:pPr>
      <w:bookmarkStart w:id="208" w:name="_Toc313888361"/>
      <w:bookmarkStart w:id="209" w:name="_Toc485108797"/>
      <w:bookmarkStart w:id="210" w:name="_Toc342913420"/>
      <w:bookmarkStart w:id="211" w:name="_Toc480979019"/>
      <w:bookmarkStart w:id="212" w:name="_Toc313008357"/>
      <w:r>
        <w:rPr>
          <w:rFonts w:hint="eastAsia" w:ascii="微软雅黑" w:hAnsi="微软雅黑" w:eastAsia="微软雅黑" w:cs="微软雅黑"/>
          <w:b/>
          <w:color w:val="000000" w:themeColor="text1"/>
          <w14:textFill>
            <w14:solidFill>
              <w14:schemeClr w14:val="tx1"/>
            </w14:solidFill>
          </w14:textFill>
        </w:rPr>
        <w:t>二、服务部分</w:t>
      </w:r>
      <w:bookmarkEnd w:id="208"/>
      <w:bookmarkEnd w:id="209"/>
      <w:bookmarkEnd w:id="210"/>
      <w:bookmarkEnd w:id="211"/>
      <w:bookmarkEnd w:id="212"/>
    </w:p>
    <w:p>
      <w:pPr>
        <w:snapToGrid w:val="0"/>
        <w:spacing w:line="360" w:lineRule="auto"/>
        <w:ind w:firstLine="56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（一）按照“第三篇  项目服务需求”提供相应资料</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8"/>
          <w:szCs w:val="24"/>
          <w14:textFill>
            <w14:solidFill>
              <w14:schemeClr w14:val="tx1"/>
            </w14:solidFill>
          </w14:textFill>
        </w:rPr>
        <w:br w:type="page"/>
      </w: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hint="eastAsia" w:ascii="微软雅黑" w:hAnsi="微软雅黑" w:eastAsia="微软雅黑" w:cs="微软雅黑"/>
          <w:color w:val="000000" w:themeColor="text1"/>
          <w:sz w:val="24"/>
          <w:szCs w:val="20"/>
          <w14:textFill>
            <w14:solidFill>
              <w14:schemeClr w14:val="tx1"/>
            </w14:solidFill>
          </w14:textFill>
        </w:rPr>
      </w:pPr>
      <w:bookmarkStart w:id="213" w:name="_Toc27394"/>
      <w:r>
        <w:rPr>
          <w:rFonts w:hint="eastAsia" w:ascii="微软雅黑" w:hAnsi="微软雅黑" w:eastAsia="微软雅黑" w:cs="微软雅黑"/>
          <w:color w:val="000000" w:themeColor="text1"/>
          <w:sz w:val="24"/>
          <w:szCs w:val="20"/>
          <w14:textFill>
            <w14:solidFill>
              <w14:schemeClr w14:val="tx1"/>
            </w14:solidFill>
          </w14:textFill>
        </w:rPr>
        <w:t>项目名称：</w:t>
      </w:r>
      <w:bookmarkEnd w:id="213"/>
    </w:p>
    <w:tbl>
      <w:tblPr>
        <w:tblStyle w:val="59"/>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hint="eastAsia" w:ascii="微软雅黑" w:hAnsi="微软雅黑" w:eastAsia="微软雅黑" w:cs="微软雅黑"/>
                <w:color w:val="000000" w:themeColor="text1"/>
                <w:szCs w:val="21"/>
                <w14:textFill>
                  <w14:solidFill>
                    <w14:schemeClr w14:val="tx1"/>
                  </w14:solidFill>
                </w14:textFill>
              </w:rPr>
            </w:pPr>
            <w:bookmarkStart w:id="214" w:name="_Toc31453"/>
            <w:r>
              <w:rPr>
                <w:rFonts w:hint="eastAsia" w:ascii="微软雅黑" w:hAnsi="微软雅黑" w:eastAsia="微软雅黑" w:cs="微软雅黑"/>
                <w:color w:val="000000" w:themeColor="text1"/>
                <w:szCs w:val="21"/>
                <w14:textFill>
                  <w14:solidFill>
                    <w14:schemeClr w14:val="tx1"/>
                  </w14:solidFill>
                </w14:textFill>
              </w:rPr>
              <w:t>序号</w:t>
            </w:r>
            <w:bookmarkEnd w:id="214"/>
          </w:p>
        </w:tc>
        <w:tc>
          <w:tcPr>
            <w:tcW w:w="2658" w:type="dxa"/>
            <w:vAlign w:val="center"/>
          </w:tcPr>
          <w:p>
            <w:pPr>
              <w:tabs>
                <w:tab w:val="left" w:pos="6300"/>
              </w:tabs>
              <w:snapToGrid w:val="0"/>
              <w:spacing w:line="500" w:lineRule="exact"/>
              <w:jc w:val="center"/>
              <w:outlineLvl w:val="0"/>
              <w:rPr>
                <w:rFonts w:hint="eastAsia" w:ascii="微软雅黑" w:hAnsi="微软雅黑" w:eastAsia="微软雅黑" w:cs="微软雅黑"/>
                <w:color w:val="000000" w:themeColor="text1"/>
                <w:szCs w:val="21"/>
                <w14:textFill>
                  <w14:solidFill>
                    <w14:schemeClr w14:val="tx1"/>
                  </w14:solidFill>
                </w14:textFill>
              </w:rPr>
            </w:pPr>
            <w:bookmarkStart w:id="215" w:name="_Toc1975"/>
            <w:r>
              <w:rPr>
                <w:rFonts w:hint="eastAsia" w:ascii="微软雅黑" w:hAnsi="微软雅黑" w:eastAsia="微软雅黑" w:cs="微软雅黑"/>
                <w:color w:val="000000" w:themeColor="text1"/>
                <w:szCs w:val="21"/>
                <w14:textFill>
                  <w14:solidFill>
                    <w14:schemeClr w14:val="tx1"/>
                  </w14:solidFill>
                </w14:textFill>
              </w:rPr>
              <w:t>采购需求</w:t>
            </w:r>
            <w:bookmarkEnd w:id="215"/>
          </w:p>
        </w:tc>
        <w:tc>
          <w:tcPr>
            <w:tcW w:w="2759" w:type="dxa"/>
            <w:vAlign w:val="center"/>
          </w:tcPr>
          <w:p>
            <w:pPr>
              <w:tabs>
                <w:tab w:val="left" w:pos="6300"/>
              </w:tabs>
              <w:snapToGrid w:val="0"/>
              <w:spacing w:line="500" w:lineRule="exact"/>
              <w:jc w:val="center"/>
              <w:outlineLvl w:val="0"/>
              <w:rPr>
                <w:rFonts w:hint="eastAsia" w:ascii="微软雅黑" w:hAnsi="微软雅黑" w:eastAsia="微软雅黑" w:cs="微软雅黑"/>
                <w:color w:val="000000" w:themeColor="text1"/>
                <w:szCs w:val="21"/>
                <w14:textFill>
                  <w14:solidFill>
                    <w14:schemeClr w14:val="tx1"/>
                  </w14:solidFill>
                </w14:textFill>
              </w:rPr>
            </w:pPr>
            <w:bookmarkStart w:id="216" w:name="_Toc8793"/>
            <w:r>
              <w:rPr>
                <w:rFonts w:hint="eastAsia" w:ascii="微软雅黑" w:hAnsi="微软雅黑" w:eastAsia="微软雅黑" w:cs="微软雅黑"/>
                <w:color w:val="000000" w:themeColor="text1"/>
                <w:szCs w:val="21"/>
                <w14:textFill>
                  <w14:solidFill>
                    <w14:schemeClr w14:val="tx1"/>
                  </w14:solidFill>
                </w14:textFill>
              </w:rPr>
              <w:t>响应情况</w:t>
            </w:r>
            <w:bookmarkEnd w:id="216"/>
          </w:p>
        </w:tc>
        <w:tc>
          <w:tcPr>
            <w:tcW w:w="2067" w:type="dxa"/>
            <w:vAlign w:val="center"/>
          </w:tcPr>
          <w:p>
            <w:pPr>
              <w:tabs>
                <w:tab w:val="left" w:pos="6300"/>
              </w:tabs>
              <w:snapToGrid w:val="0"/>
              <w:spacing w:line="500" w:lineRule="exact"/>
              <w:jc w:val="center"/>
              <w:outlineLvl w:val="0"/>
              <w:rPr>
                <w:rFonts w:hint="eastAsia" w:ascii="微软雅黑" w:hAnsi="微软雅黑" w:eastAsia="微软雅黑" w:cs="微软雅黑"/>
                <w:color w:val="000000" w:themeColor="text1"/>
                <w:szCs w:val="21"/>
                <w14:textFill>
                  <w14:solidFill>
                    <w14:schemeClr w14:val="tx1"/>
                  </w14:solidFill>
                </w14:textFill>
              </w:rPr>
            </w:pPr>
            <w:bookmarkStart w:id="217" w:name="_Toc27541"/>
            <w:r>
              <w:rPr>
                <w:rFonts w:hint="eastAsia" w:ascii="微软雅黑" w:hAnsi="微软雅黑" w:eastAsia="微软雅黑" w:cs="微软雅黑"/>
                <w:color w:val="000000" w:themeColor="text1"/>
                <w:szCs w:val="21"/>
                <w14:textFill>
                  <w14:solidFill>
                    <w14:schemeClr w14:val="tx1"/>
                  </w14:solidFill>
                </w14:textFill>
              </w:rPr>
              <w:t>差异说明</w:t>
            </w:r>
            <w:bookmarkEnd w:id="2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bl>
    <w:p>
      <w:pPr>
        <w:spacing w:line="500" w:lineRule="exact"/>
        <w:ind w:firstLine="600" w:firstLineChars="25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                                      法定代表人授权代表：</w:t>
      </w:r>
    </w:p>
    <w:p>
      <w:pPr>
        <w:spacing w:line="500" w:lineRule="exact"/>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w:t>
      </w:r>
    </w:p>
    <w:p>
      <w:pPr>
        <w:spacing w:line="500" w:lineRule="exact"/>
        <w:ind w:firstLine="720" w:firstLineChars="3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w:t>
      </w:r>
      <w:r>
        <w:rPr>
          <w:rFonts w:hint="eastAsia" w:ascii="微软雅黑" w:hAnsi="微软雅黑" w:eastAsia="微软雅黑" w:cs="微软雅黑"/>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3.该表可扩展</w:t>
      </w:r>
      <w:r>
        <w:rPr>
          <w:rFonts w:hint="eastAsia" w:ascii="微软雅黑" w:hAnsi="微软雅黑" w:eastAsia="微软雅黑" w:cs="微软雅黑"/>
          <w:color w:val="000000" w:themeColor="text1"/>
          <w:sz w:val="24"/>
          <w:szCs w:val="28"/>
          <w14:textFill>
            <w14:solidFill>
              <w14:schemeClr w14:val="tx1"/>
            </w14:solidFill>
          </w14:textFill>
        </w:rPr>
        <w:t>，并逐页签字或盖章</w:t>
      </w:r>
      <w:r>
        <w:rPr>
          <w:rFonts w:hint="eastAsia" w:ascii="微软雅黑" w:hAnsi="微软雅黑" w:eastAsia="微软雅黑" w:cs="微软雅黑"/>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5.若“响应情况”栏中仅填写“无偏离”或“有偏离”等内容而未作实质性参数描述，该供应商将失去成为成交供应商的资格，仅保留其合格供应商的身份。</w:t>
      </w:r>
    </w:p>
    <w:p>
      <w:pPr>
        <w:rPr>
          <w:rFonts w:hint="eastAsia" w:ascii="微软雅黑" w:hAnsi="微软雅黑" w:eastAsia="微软雅黑" w:cs="微软雅黑"/>
          <w:b/>
          <w:color w:val="000000" w:themeColor="text1"/>
          <w14:textFill>
            <w14:solidFill>
              <w14:schemeClr w14:val="tx1"/>
            </w14:solidFill>
          </w14:textFill>
        </w:rPr>
      </w:pPr>
      <w:r>
        <w:rPr>
          <w:rFonts w:hint="eastAsia" w:ascii="微软雅黑" w:hAnsi="微软雅黑" w:eastAsia="微软雅黑" w:cs="微软雅黑"/>
          <w:color w:val="000000" w:themeColor="text1"/>
          <w:sz w:val="32"/>
          <w:szCs w:val="20"/>
          <w14:textFill>
            <w14:solidFill>
              <w14:schemeClr w14:val="tx1"/>
            </w14:solidFill>
          </w14:textFill>
        </w:rPr>
        <w:br w:type="page"/>
      </w:r>
      <w:bookmarkStart w:id="218" w:name="_Toc313888362"/>
      <w:bookmarkStart w:id="219" w:name="_Toc342913421"/>
      <w:bookmarkStart w:id="220" w:name="_Toc485108798"/>
      <w:bookmarkStart w:id="221" w:name="_Toc313008358"/>
      <w:bookmarkStart w:id="222" w:name="_Toc480979020"/>
      <w:r>
        <w:rPr>
          <w:rFonts w:hint="eastAsia" w:ascii="微软雅黑" w:hAnsi="微软雅黑" w:eastAsia="微软雅黑" w:cs="微软雅黑"/>
          <w:b/>
          <w:color w:val="000000" w:themeColor="text1"/>
          <w14:textFill>
            <w14:solidFill>
              <w14:schemeClr w14:val="tx1"/>
            </w14:solidFill>
          </w14:textFill>
        </w:rPr>
        <w:t>三、商务部分</w:t>
      </w:r>
      <w:bookmarkEnd w:id="218"/>
      <w:bookmarkEnd w:id="219"/>
      <w:bookmarkEnd w:id="220"/>
      <w:bookmarkEnd w:id="221"/>
      <w:bookmarkEnd w:id="222"/>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hint="eastAsia" w:ascii="微软雅黑" w:hAnsi="微软雅黑" w:eastAsia="微软雅黑" w:cs="微软雅黑"/>
          <w:b/>
          <w:color w:val="000000" w:themeColor="text1"/>
          <w:sz w:val="28"/>
          <w:szCs w:val="20"/>
          <w14:textFill>
            <w14:solidFill>
              <w14:schemeClr w14:val="tx1"/>
            </w14:solidFill>
          </w14:textFill>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223" w:name="_Toc283382459"/>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napToGrid w:val="0"/>
        <w:spacing w:line="360" w:lineRule="auto"/>
        <w:jc w:val="center"/>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商务响应偏离表</w:t>
      </w:r>
    </w:p>
    <w:p>
      <w:pPr>
        <w:snapToGrid w:val="0"/>
        <w:spacing w:line="500" w:lineRule="exact"/>
        <w:ind w:firstLine="48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项目名称：</w:t>
      </w:r>
    </w:p>
    <w:p>
      <w:pPr>
        <w:snapToGrid w:val="0"/>
        <w:spacing w:line="360" w:lineRule="auto"/>
        <w:ind w:firstLine="465"/>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对于比选文件的商务要求，如有任何偏离请如实填写下表：</w:t>
      </w:r>
    </w:p>
    <w:tbl>
      <w:tblPr>
        <w:tblStyle w:val="59"/>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hint="eastAsia" w:ascii="微软雅黑" w:hAnsi="微软雅黑" w:eastAsia="微软雅黑" w:cs="微软雅黑"/>
                <w:color w:val="000000" w:themeColor="text1"/>
                <w:szCs w:val="24"/>
                <w14:textFill>
                  <w14:solidFill>
                    <w14:schemeClr w14:val="tx1"/>
                  </w14:solidFill>
                </w14:textFill>
              </w:rPr>
            </w:pPr>
            <w:bookmarkStart w:id="224" w:name="_Toc28268"/>
            <w:r>
              <w:rPr>
                <w:rFonts w:hint="eastAsia" w:ascii="微软雅黑" w:hAnsi="微软雅黑" w:eastAsia="微软雅黑" w:cs="微软雅黑"/>
                <w:color w:val="000000" w:themeColor="text1"/>
                <w:szCs w:val="24"/>
                <w14:textFill>
                  <w14:solidFill>
                    <w14:schemeClr w14:val="tx1"/>
                  </w14:solidFill>
                </w14:textFill>
              </w:rPr>
              <w:t>序号</w:t>
            </w:r>
            <w:bookmarkEnd w:id="224"/>
          </w:p>
        </w:tc>
        <w:tc>
          <w:tcPr>
            <w:tcW w:w="3179" w:type="dxa"/>
            <w:vAlign w:val="center"/>
          </w:tcPr>
          <w:p>
            <w:pPr>
              <w:tabs>
                <w:tab w:val="left" w:pos="6300"/>
              </w:tabs>
              <w:snapToGrid w:val="0"/>
              <w:spacing w:line="360" w:lineRule="auto"/>
              <w:jc w:val="center"/>
              <w:outlineLvl w:val="0"/>
              <w:rPr>
                <w:rFonts w:hint="eastAsia" w:ascii="微软雅黑" w:hAnsi="微软雅黑" w:eastAsia="微软雅黑" w:cs="微软雅黑"/>
                <w:color w:val="000000" w:themeColor="text1"/>
                <w:szCs w:val="24"/>
                <w14:textFill>
                  <w14:solidFill>
                    <w14:schemeClr w14:val="tx1"/>
                  </w14:solidFill>
                </w14:textFill>
              </w:rPr>
            </w:pPr>
            <w:bookmarkStart w:id="225" w:name="_Toc3189"/>
            <w:r>
              <w:rPr>
                <w:rFonts w:hint="eastAsia" w:ascii="微软雅黑" w:hAnsi="微软雅黑" w:eastAsia="微软雅黑" w:cs="微软雅黑"/>
                <w:color w:val="000000" w:themeColor="text1"/>
                <w:szCs w:val="24"/>
                <w14:textFill>
                  <w14:solidFill>
                    <w14:schemeClr w14:val="tx1"/>
                  </w14:solidFill>
                </w14:textFill>
              </w:rPr>
              <w:t>比选项目需求</w:t>
            </w:r>
            <w:bookmarkEnd w:id="225"/>
          </w:p>
        </w:tc>
        <w:tc>
          <w:tcPr>
            <w:tcW w:w="2434" w:type="dxa"/>
            <w:vAlign w:val="center"/>
          </w:tcPr>
          <w:p>
            <w:pPr>
              <w:tabs>
                <w:tab w:val="left" w:pos="6300"/>
              </w:tabs>
              <w:snapToGrid w:val="0"/>
              <w:spacing w:line="360" w:lineRule="auto"/>
              <w:jc w:val="center"/>
              <w:outlineLvl w:val="0"/>
              <w:rPr>
                <w:rFonts w:hint="eastAsia" w:ascii="微软雅黑" w:hAnsi="微软雅黑" w:eastAsia="微软雅黑" w:cs="微软雅黑"/>
                <w:color w:val="000000" w:themeColor="text1"/>
                <w:szCs w:val="24"/>
                <w14:textFill>
                  <w14:solidFill>
                    <w14:schemeClr w14:val="tx1"/>
                  </w14:solidFill>
                </w14:textFill>
              </w:rPr>
            </w:pPr>
            <w:bookmarkStart w:id="226" w:name="_Toc14365"/>
            <w:r>
              <w:rPr>
                <w:rFonts w:hint="eastAsia" w:ascii="微软雅黑" w:hAnsi="微软雅黑" w:eastAsia="微软雅黑" w:cs="微软雅黑"/>
                <w:color w:val="000000" w:themeColor="text1"/>
                <w:szCs w:val="24"/>
                <w14:textFill>
                  <w14:solidFill>
                    <w14:schemeClr w14:val="tx1"/>
                  </w14:solidFill>
                </w14:textFill>
              </w:rPr>
              <w:t>响应情况</w:t>
            </w:r>
            <w:bookmarkEnd w:id="226"/>
          </w:p>
        </w:tc>
        <w:tc>
          <w:tcPr>
            <w:tcW w:w="2355" w:type="dxa"/>
            <w:vAlign w:val="center"/>
          </w:tcPr>
          <w:p>
            <w:pPr>
              <w:tabs>
                <w:tab w:val="left" w:pos="6300"/>
              </w:tabs>
              <w:snapToGrid w:val="0"/>
              <w:spacing w:line="360" w:lineRule="auto"/>
              <w:jc w:val="center"/>
              <w:outlineLvl w:val="0"/>
              <w:rPr>
                <w:rFonts w:hint="eastAsia" w:ascii="微软雅黑" w:hAnsi="微软雅黑" w:eastAsia="微软雅黑" w:cs="微软雅黑"/>
                <w:color w:val="000000" w:themeColor="text1"/>
                <w:szCs w:val="24"/>
                <w14:textFill>
                  <w14:solidFill>
                    <w14:schemeClr w14:val="tx1"/>
                  </w14:solidFill>
                </w14:textFill>
              </w:rPr>
            </w:pPr>
            <w:bookmarkStart w:id="227" w:name="_Toc30608"/>
            <w:r>
              <w:rPr>
                <w:rFonts w:hint="eastAsia" w:ascii="微软雅黑" w:hAnsi="微软雅黑" w:eastAsia="微软雅黑" w:cs="微软雅黑"/>
                <w:color w:val="000000" w:themeColor="text1"/>
                <w:szCs w:val="24"/>
                <w14:textFill>
                  <w14:solidFill>
                    <w14:schemeClr w14:val="tx1"/>
                  </w14:solidFill>
                </w14:textFill>
              </w:rPr>
              <w:t>偏离说明</w:t>
            </w:r>
            <w:bookmarkEnd w:id="2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r>
    </w:tbl>
    <w:p>
      <w:pPr>
        <w:snapToGrid w:val="0"/>
        <w:spacing w:line="360" w:lineRule="auto"/>
        <w:ind w:firstLine="465"/>
        <w:rPr>
          <w:rFonts w:hint="eastAsia" w:ascii="微软雅黑" w:hAnsi="微软雅黑" w:eastAsia="微软雅黑" w:cs="微软雅黑"/>
          <w:color w:val="000000" w:themeColor="text1"/>
          <w:sz w:val="24"/>
          <w:szCs w:val="24"/>
          <w14:textFill>
            <w14:solidFill>
              <w14:schemeClr w14:val="tx1"/>
            </w14:solidFill>
          </w14:textFill>
        </w:rPr>
      </w:pPr>
    </w:p>
    <w:p>
      <w:pPr>
        <w:spacing w:line="500" w:lineRule="exact"/>
        <w:ind w:firstLine="600" w:firstLineChars="25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                                      法定代表人授权代表：</w:t>
      </w:r>
    </w:p>
    <w:p>
      <w:pPr>
        <w:spacing w:line="500" w:lineRule="exact"/>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w:t>
      </w:r>
    </w:p>
    <w:p>
      <w:pPr>
        <w:spacing w:line="500" w:lineRule="exact"/>
        <w:ind w:firstLine="360" w:firstLineChars="15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w:t>
      </w:r>
      <w:r>
        <w:rPr>
          <w:rFonts w:hint="eastAsia" w:ascii="微软雅黑" w:hAnsi="微软雅黑" w:eastAsia="微软雅黑" w:cs="微软雅黑"/>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3.该表可扩展，并逐页签字或盖章；</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4.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spacing w:line="360" w:lineRule="auto"/>
        <w:ind w:firstLine="56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br w:type="page"/>
      </w:r>
    </w:p>
    <w:p>
      <w:pPr>
        <w:rPr>
          <w:rFonts w:hint="eastAsia" w:ascii="微软雅黑" w:hAnsi="微软雅黑" w:eastAsia="微软雅黑" w:cs="微软雅黑"/>
          <w:b/>
          <w:color w:val="000000" w:themeColor="text1"/>
          <w14:textFill>
            <w14:solidFill>
              <w14:schemeClr w14:val="tx1"/>
            </w14:solidFill>
          </w14:textFill>
        </w:rPr>
      </w:pPr>
      <w:r>
        <w:rPr>
          <w:rFonts w:hint="eastAsia" w:ascii="微软雅黑" w:hAnsi="微软雅黑" w:eastAsia="微软雅黑" w:cs="微软雅黑"/>
          <w:b/>
          <w:color w:val="000000" w:themeColor="text1"/>
          <w14:textFill>
            <w14:solidFill>
              <w14:schemeClr w14:val="tx1"/>
            </w14:solidFill>
          </w14:textFill>
        </w:rPr>
        <w:t>四、资格条件及其他</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18"/>
          <w14:textFill>
            <w14:solidFill>
              <w14:schemeClr w14:val="tx1"/>
            </w14:solidFill>
          </w14:textFill>
        </w:rPr>
        <w:t>（一）营业执照（副本）</w:t>
      </w:r>
      <w:r>
        <w:rPr>
          <w:rFonts w:hint="eastAsia" w:ascii="微软雅黑" w:hAnsi="微软雅黑" w:eastAsia="微软雅黑" w:cs="微软雅黑"/>
          <w:color w:val="000000" w:themeColor="text1"/>
          <w:sz w:val="24"/>
          <w:szCs w:val="24"/>
          <w14:textFill>
            <w14:solidFill>
              <w14:schemeClr w14:val="tx1"/>
            </w14:solidFill>
          </w14:textFill>
        </w:rPr>
        <w:t>或事业单位法人证书（副本）</w:t>
      </w:r>
      <w:r>
        <w:rPr>
          <w:rFonts w:hint="eastAsia" w:ascii="微软雅黑" w:hAnsi="微软雅黑" w:eastAsia="微软雅黑" w:cs="微软雅黑"/>
          <w:color w:val="000000" w:themeColor="text1"/>
          <w:sz w:val="24"/>
          <w:szCs w:val="18"/>
          <w14:textFill>
            <w14:solidFill>
              <w14:schemeClr w14:val="tx1"/>
            </w14:solidFill>
          </w14:textFill>
        </w:rPr>
        <w:t>复印件</w:t>
      </w:r>
      <w:r>
        <w:rPr>
          <w:rFonts w:hint="eastAsia" w:ascii="微软雅黑" w:hAnsi="微软雅黑" w:eastAsia="微软雅黑" w:cs="微软雅黑"/>
          <w:color w:val="000000" w:themeColor="text1"/>
          <w:sz w:val="24"/>
          <w:szCs w:val="24"/>
          <w14:textFill>
            <w14:solidFill>
              <w14:schemeClr w14:val="tx1"/>
            </w14:solidFill>
          </w14:textFill>
        </w:rPr>
        <w:t>或个体工商户营业执照或有效的自然人身份证明或社会团体法人登记证书复印件</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br w:type="page"/>
      </w:r>
      <w:bookmarkEnd w:id="223"/>
      <w:bookmarkStart w:id="228" w:name="_Toc313888363"/>
      <w:bookmarkStart w:id="229" w:name="_Toc342913422"/>
      <w:bookmarkStart w:id="230" w:name="_Toc313008359"/>
    </w:p>
    <w:p>
      <w:pPr>
        <w:snapToGrid w:val="0"/>
        <w:spacing w:line="400" w:lineRule="exact"/>
        <w:ind w:firstLine="56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组织机构代码证复印件</w:t>
      </w:r>
    </w:p>
    <w:p>
      <w:pPr>
        <w:widowControl/>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br w:type="page"/>
      </w:r>
      <w:bookmarkEnd w:id="228"/>
      <w:bookmarkEnd w:id="229"/>
      <w:bookmarkEnd w:id="230"/>
      <w:r>
        <w:rPr>
          <w:rFonts w:hint="eastAsia" w:ascii="微软雅黑" w:hAnsi="微软雅黑" w:eastAsia="微软雅黑" w:cs="微软雅黑"/>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项目名称：</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致：</w:t>
      </w:r>
      <w:r>
        <w:rPr>
          <w:rFonts w:hint="eastAsia" w:ascii="微软雅黑" w:hAnsi="微软雅黑" w:eastAsia="微软雅黑" w:cs="微软雅黑"/>
          <w:color w:val="000000" w:themeColor="text1"/>
          <w:sz w:val="24"/>
          <w:szCs w:val="24"/>
          <w:u w:val="single"/>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（法定代表人姓名）在</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（供应商名称）任</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（职务名称）职务，是（供应商名称）</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widowControl/>
        <w:ind w:firstLine="480" w:firstLineChars="200"/>
        <w:jc w:val="left"/>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br w:type="column"/>
      </w:r>
      <w:r>
        <w:rPr>
          <w:rFonts w:hint="eastAsia" w:ascii="微软雅黑" w:hAnsi="微软雅黑" w:eastAsia="微软雅黑" w:cs="微软雅黑"/>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项目名称</w:t>
      </w:r>
      <w:r>
        <w:rPr>
          <w:rFonts w:hint="eastAsia" w:ascii="微软雅黑" w:hAnsi="微软雅黑" w:eastAsia="微软雅黑" w:cs="微软雅黑"/>
          <w:color w:val="000000" w:themeColor="text1"/>
          <w:sz w:val="24"/>
          <w:szCs w:val="20"/>
          <w14:textFill>
            <w14:solidFill>
              <w14:schemeClr w14:val="tx1"/>
            </w14:solidFill>
          </w14:textFill>
        </w:rPr>
        <w:t>：</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致：</w:t>
      </w:r>
      <w:r>
        <w:rPr>
          <w:rFonts w:hint="eastAsia" w:ascii="微软雅黑" w:hAnsi="微软雅黑" w:eastAsia="微软雅黑" w:cs="微软雅黑"/>
          <w:color w:val="000000" w:themeColor="text1"/>
          <w:sz w:val="24"/>
          <w:szCs w:val="24"/>
          <w:u w:val="single"/>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（供应商法定代表人名称）是</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（供应商名称）的法定代表人，特授权</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8"/>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br w:type="column"/>
      </w:r>
      <w:r>
        <w:rPr>
          <w:rFonts w:hint="eastAsia" w:ascii="微软雅黑" w:hAnsi="微软雅黑" w:eastAsia="微软雅黑" w:cs="微软雅黑"/>
          <w:color w:val="000000" w:themeColor="text1"/>
          <w:sz w:val="28"/>
          <w:szCs w:val="20"/>
          <w14:textFill>
            <w14:solidFill>
              <w14:schemeClr w14:val="tx1"/>
            </w14:solidFill>
          </w14:textFill>
        </w:rPr>
        <w:t>（五）</w:t>
      </w:r>
      <w:r>
        <w:rPr>
          <w:rFonts w:hint="eastAsia" w:ascii="微软雅黑" w:hAnsi="微软雅黑" w:eastAsia="微软雅黑" w:cs="微软雅黑"/>
          <w:color w:val="000000" w:themeColor="text1"/>
          <w:sz w:val="24"/>
          <w:szCs w:val="24"/>
          <w14:textFill>
            <w14:solidFill>
              <w14:schemeClr w14:val="tx1"/>
            </w14:solidFill>
          </w14:textFill>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项目名称</w:t>
      </w:r>
      <w:r>
        <w:rPr>
          <w:rFonts w:hint="eastAsia" w:ascii="微软雅黑" w:hAnsi="微软雅黑" w:eastAsia="微软雅黑" w:cs="微软雅黑"/>
          <w:color w:val="000000" w:themeColor="text1"/>
          <w:sz w:val="24"/>
          <w:szCs w:val="20"/>
          <w14:textFill>
            <w14:solidFill>
              <w14:schemeClr w14:val="tx1"/>
            </w14:solidFill>
          </w14:textFill>
        </w:rPr>
        <w:t>：</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致：</w:t>
      </w:r>
      <w:r>
        <w:rPr>
          <w:rFonts w:hint="eastAsia" w:ascii="微软雅黑" w:hAnsi="微软雅黑" w:eastAsia="微软雅黑" w:cs="微软雅黑"/>
          <w:color w:val="000000" w:themeColor="text1"/>
          <w:sz w:val="24"/>
          <w:szCs w:val="24"/>
          <w:u w:val="single"/>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w:t>
      </w:r>
    </w:p>
    <w:p>
      <w:pPr>
        <w:spacing w:line="440" w:lineRule="exact"/>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hint="eastAsia" w:ascii="微软雅黑" w:hAnsi="微软雅黑" w:eastAsia="微软雅黑" w:cs="微软雅黑"/>
          <w:color w:val="000000" w:themeColor="text1"/>
          <w:sz w:val="24"/>
          <w:szCs w:val="28"/>
          <w14:textFill>
            <w14:solidFill>
              <w14:schemeClr w14:val="tx1"/>
            </w14:solidFill>
          </w14:textFill>
        </w:rPr>
      </w:pPr>
    </w:p>
    <w:p>
      <w:pPr>
        <w:tabs>
          <w:tab w:val="left" w:pos="6300"/>
        </w:tabs>
        <w:snapToGrid w:val="0"/>
        <w:spacing w:line="500" w:lineRule="exact"/>
        <w:rPr>
          <w:rFonts w:hint="eastAsia" w:ascii="微软雅黑" w:hAnsi="微软雅黑" w:eastAsia="微软雅黑" w:cs="微软雅黑"/>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hint="eastAsia" w:ascii="微软雅黑" w:hAnsi="微软雅黑" w:eastAsia="微软雅黑" w:cs="微软雅黑"/>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年   月   日</w:t>
      </w: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hint="eastAsia" w:ascii="微软雅黑" w:hAnsi="微软雅黑" w:eastAsia="微软雅黑" w:cs="微软雅黑"/>
          <w:color w:val="000000" w:themeColor="text1"/>
          <w:sz w:val="28"/>
          <w:szCs w:val="28"/>
          <w14:textFill>
            <w14:solidFill>
              <w14:schemeClr w14:val="tx1"/>
            </w14:solidFill>
          </w14:textFill>
        </w:rPr>
      </w:pPr>
      <w:bookmarkStart w:id="231" w:name="OLE_LINK7"/>
      <w:bookmarkStart w:id="232" w:name="OLE_LINK4"/>
      <w:r>
        <w:rPr>
          <w:rFonts w:hint="eastAsia" w:ascii="微软雅黑" w:hAnsi="微软雅黑" w:eastAsia="微软雅黑" w:cs="微软雅黑"/>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微软雅黑" w:hAnsi="微软雅黑" w:eastAsia="微软雅黑" w:cs="微软雅黑"/>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bookmarkEnd w:id="231"/>
    <w:bookmarkEnd w:id="232"/>
    <w:p>
      <w:pPr>
        <w:widowControl/>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jc w:val="both"/>
        <w:rPr>
          <w:rFonts w:hint="eastAsia" w:ascii="微软雅黑" w:hAnsi="微软雅黑" w:eastAsia="微软雅黑" w:cs="微软雅黑"/>
          <w:color w:val="000000" w:themeColor="text1"/>
          <w:sz w:val="24"/>
          <w:szCs w:val="24"/>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rPr>
          <w:rFonts w:hint="eastAsia" w:ascii="微软雅黑" w:hAnsi="微软雅黑" w:eastAsia="微软雅黑" w:cs="微软雅黑"/>
          <w:color w:val="000000" w:themeColor="text1"/>
          <w14:textFill>
            <w14:solidFill>
              <w14:schemeClr w14:val="tx1"/>
            </w14:solidFill>
          </w14:textFill>
        </w:rPr>
      </w:pPr>
    </w:p>
    <w:p>
      <w:pPr>
        <w:rPr>
          <w:rFonts w:hint="eastAsia" w:ascii="微软雅黑" w:hAnsi="微软雅黑" w:eastAsia="微软雅黑" w:cs="微软雅黑"/>
          <w:color w:val="000000" w:themeColor="text1"/>
          <w14:textFill>
            <w14:solidFill>
              <w14:schemeClr w14:val="tx1"/>
            </w14:solidFill>
          </w14:textFill>
        </w:rPr>
      </w:pPr>
    </w:p>
    <w:p>
      <w:pPr>
        <w:rPr>
          <w:rFonts w:hint="eastAsia" w:ascii="微软雅黑" w:hAnsi="微软雅黑" w:eastAsia="微软雅黑" w:cs="微软雅黑"/>
          <w:color w:val="000000" w:themeColor="text1"/>
          <w14:textFill>
            <w14:solidFill>
              <w14:schemeClr w14:val="tx1"/>
            </w14:solidFill>
          </w14:textFill>
        </w:rPr>
      </w:pPr>
    </w:p>
    <w:p>
      <w:pPr>
        <w:rPr>
          <w:rFonts w:hint="eastAsia" w:ascii="微软雅黑" w:hAnsi="微软雅黑" w:eastAsia="微软雅黑" w:cs="微软雅黑"/>
          <w:color w:val="000000" w:themeColor="text1"/>
          <w14:textFill>
            <w14:solidFill>
              <w14:schemeClr w14:val="tx1"/>
            </w14:solidFill>
          </w14:textFill>
        </w:rPr>
      </w:pPr>
    </w:p>
    <w:p>
      <w:pPr>
        <w:pStyle w:val="3"/>
        <w:bidi w:val="0"/>
        <w:jc w:val="center"/>
        <w:rPr>
          <w:rFonts w:hint="eastAsia" w:ascii="微软雅黑" w:hAnsi="微软雅黑" w:eastAsia="微软雅黑" w:cs="微软雅黑"/>
          <w:color w:val="000000" w:themeColor="text1"/>
          <w:sz w:val="36"/>
          <w:szCs w:val="36"/>
          <w:lang w:val="en-US" w:eastAsia="zh-CN"/>
          <w14:textFill>
            <w14:solidFill>
              <w14:schemeClr w14:val="tx1"/>
            </w14:solidFill>
          </w14:textFill>
        </w:rPr>
      </w:pPr>
      <w:bookmarkStart w:id="233" w:name="_Toc27256"/>
      <w:bookmarkStart w:id="234" w:name="_Toc14049"/>
      <w:r>
        <w:rPr>
          <w:rFonts w:hint="eastAsia" w:ascii="微软雅黑" w:hAnsi="微软雅黑" w:eastAsia="微软雅黑" w:cs="微软雅黑"/>
          <w:color w:val="000000" w:themeColor="text1"/>
          <w:sz w:val="36"/>
          <w:szCs w:val="36"/>
          <w:lang w:val="en-US" w:eastAsia="zh-CN"/>
          <w14:textFill>
            <w14:solidFill>
              <w14:schemeClr w14:val="tx1"/>
            </w14:solidFill>
          </w14:textFill>
        </w:rPr>
        <w:t>重庆医科大学附属永川医院</w:t>
      </w:r>
    </w:p>
    <w:p>
      <w:pPr>
        <w:pStyle w:val="3"/>
        <w:bidi w:val="0"/>
        <w:jc w:val="center"/>
        <w:rPr>
          <w:rFonts w:hint="eastAsia" w:ascii="微软雅黑" w:hAnsi="微软雅黑" w:eastAsia="微软雅黑" w:cs="微软雅黑"/>
          <w:color w:val="000000" w:themeColor="text1"/>
          <w:sz w:val="36"/>
          <w:szCs w:val="36"/>
          <w:lang w:val="en-US" w:eastAsia="zh-CN"/>
          <w14:textFill>
            <w14:solidFill>
              <w14:schemeClr w14:val="tx1"/>
            </w14:solidFill>
          </w14:textFill>
        </w:rPr>
      </w:pPr>
      <w:r>
        <w:rPr>
          <w:rFonts w:hint="eastAsia" w:ascii="微软雅黑" w:hAnsi="微软雅黑" w:eastAsia="微软雅黑" w:cs="微软雅黑"/>
          <w:color w:val="000000" w:themeColor="text1"/>
          <w:sz w:val="36"/>
          <w:szCs w:val="36"/>
          <w:lang w:val="en-US" w:eastAsia="zh-CN"/>
          <w14:textFill>
            <w14:solidFill>
              <w14:schemeClr w14:val="tx1"/>
            </w14:solidFill>
          </w14:textFill>
        </w:rPr>
        <w:t>参加医院院内采购活动来院人员</w:t>
      </w:r>
    </w:p>
    <w:p>
      <w:pPr>
        <w:pStyle w:val="3"/>
        <w:bidi w:val="0"/>
        <w:jc w:val="center"/>
        <w:rPr>
          <w:rFonts w:hint="eastAsia" w:ascii="微软雅黑" w:hAnsi="微软雅黑" w:eastAsia="微软雅黑" w:cs="微软雅黑"/>
          <w:color w:val="000000" w:themeColor="text1"/>
          <w:sz w:val="36"/>
          <w:szCs w:val="36"/>
          <w:lang w:eastAsia="zh-CN"/>
          <w14:textFill>
            <w14:solidFill>
              <w14:schemeClr w14:val="tx1"/>
            </w14:solidFill>
          </w14:textFill>
        </w:rPr>
      </w:pPr>
      <w:r>
        <w:rPr>
          <w:rFonts w:hint="eastAsia" w:ascii="微软雅黑" w:hAnsi="微软雅黑" w:eastAsia="微软雅黑" w:cs="微软雅黑"/>
          <w:color w:val="000000" w:themeColor="text1"/>
          <w:sz w:val="36"/>
          <w:szCs w:val="36"/>
          <w14:textFill>
            <w14:solidFill>
              <w14:schemeClr w14:val="tx1"/>
            </w14:solidFill>
          </w14:textFill>
        </w:rPr>
        <w:t>新冠肺炎疫情防控工作</w:t>
      </w:r>
      <w:r>
        <w:rPr>
          <w:rFonts w:hint="eastAsia" w:ascii="微软雅黑" w:hAnsi="微软雅黑" w:eastAsia="微软雅黑" w:cs="微软雅黑"/>
          <w:color w:val="000000" w:themeColor="text1"/>
          <w:sz w:val="36"/>
          <w:szCs w:val="36"/>
          <w:lang w:eastAsia="zh-CN"/>
          <w14:textFill>
            <w14:solidFill>
              <w14:schemeClr w14:val="tx1"/>
            </w14:solidFill>
          </w14:textFill>
        </w:rPr>
        <w:t>告知书</w:t>
      </w:r>
      <w:bookmarkEnd w:id="233"/>
      <w:bookmarkEnd w:id="234"/>
    </w:p>
    <w:p>
      <w:pPr>
        <w:pStyle w:val="36"/>
        <w:rPr>
          <w:rFonts w:hint="eastAsia"/>
          <w:color w:val="000000" w:themeColor="text1"/>
          <w:lang w:eastAsia="zh-CN"/>
          <w14:textFill>
            <w14:solidFill>
              <w14:schemeClr w14:val="tx1"/>
            </w14:solidFill>
          </w14:textFill>
        </w:rPr>
      </w:pPr>
    </w:p>
    <w:p>
      <w:pPr>
        <w:pStyle w:val="36"/>
        <w:rPr>
          <w:rFonts w:hint="eastAsia"/>
          <w:color w:val="000000" w:themeColor="text1"/>
          <w14:textFill>
            <w14:solidFill>
              <w14:schemeClr w14:val="tx1"/>
            </w14:solidFill>
          </w14:textFill>
        </w:rPr>
      </w:pPr>
    </w:p>
    <w:p>
      <w:pPr>
        <w:widowControl/>
        <w:spacing w:line="400" w:lineRule="exact"/>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为切实保障</w:t>
      </w:r>
      <w:r>
        <w:rPr>
          <w:rFonts w:hint="eastAsia" w:ascii="方正仿宋_GBK" w:hAnsi="宋体" w:eastAsia="方正仿宋_GBK" w:cs="Times New Roman"/>
          <w:color w:val="000000" w:themeColor="text1"/>
          <w:sz w:val="24"/>
          <w:szCs w:val="24"/>
          <w:lang w:eastAsia="zh-CN"/>
          <w14:textFill>
            <w14:solidFill>
              <w14:schemeClr w14:val="tx1"/>
            </w14:solidFill>
          </w14:textFill>
        </w:rPr>
        <w:t>本院疫情防控安全，维持正常工作</w:t>
      </w:r>
      <w:r>
        <w:rPr>
          <w:rFonts w:hint="eastAsia" w:ascii="方正仿宋_GBK" w:hAnsi="宋体" w:eastAsia="方正仿宋_GBK" w:cs="Times New Roman"/>
          <w:color w:val="000000" w:themeColor="text1"/>
          <w:sz w:val="24"/>
          <w:szCs w:val="24"/>
          <w14:textFill>
            <w14:solidFill>
              <w14:schemeClr w14:val="tx1"/>
            </w14:solidFill>
          </w14:textFill>
        </w:rPr>
        <w:t>秩序，根据《</w:t>
      </w:r>
      <w:r>
        <w:rPr>
          <w:rFonts w:hint="default" w:ascii="方正仿宋_GBK" w:hAnsi="宋体" w:eastAsia="方正仿宋_GBK" w:cs="Times New Roman"/>
          <w:color w:val="000000" w:themeColor="text1"/>
          <w:sz w:val="24"/>
          <w:szCs w:val="24"/>
          <w:lang w:val="en-US" w:eastAsia="zh-CN"/>
          <w14:textFill>
            <w14:solidFill>
              <w14:schemeClr w14:val="tx1"/>
            </w14:solidFill>
          </w14:textFill>
        </w:rPr>
        <w:t>关于做好</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当前国内重点地区</w:t>
      </w:r>
      <w:r>
        <w:rPr>
          <w:rFonts w:hint="default" w:ascii="方正仿宋_GBK" w:hAnsi="宋体" w:eastAsia="方正仿宋_GBK" w:cs="Times New Roman"/>
          <w:color w:val="000000" w:themeColor="text1"/>
          <w:sz w:val="24"/>
          <w:szCs w:val="24"/>
          <w:lang w:eastAsia="zh-CN"/>
          <w14:textFill>
            <w14:solidFill>
              <w14:schemeClr w14:val="tx1"/>
            </w14:solidFill>
          </w14:textFill>
        </w:rPr>
        <w:t>来渝返渝人员</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健康管理</w:t>
      </w:r>
      <w:r>
        <w:rPr>
          <w:rFonts w:hint="default" w:ascii="方正仿宋_GBK" w:hAnsi="宋体" w:eastAsia="方正仿宋_GBK" w:cs="Times New Roman"/>
          <w:color w:val="000000" w:themeColor="text1"/>
          <w:sz w:val="24"/>
          <w:szCs w:val="24"/>
          <w:lang w:eastAsia="zh-CN"/>
          <w14:textFill>
            <w14:solidFill>
              <w14:schemeClr w14:val="tx1"/>
            </w14:solidFill>
          </w14:textFill>
        </w:rPr>
        <w:t>的通知</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default" w:ascii="方正仿宋_GBK" w:hAnsi="宋体" w:eastAsia="方正仿宋_GBK" w:cs="Times New Roman"/>
          <w:color w:val="000000" w:themeColor="text1"/>
          <w:sz w:val="24"/>
          <w:szCs w:val="24"/>
          <w:lang w:eastAsia="zh-CN"/>
          <w14:textFill>
            <w14:solidFill>
              <w14:schemeClr w14:val="tx1"/>
            </w14:solidFill>
          </w14:textFill>
        </w:rPr>
        <w:t>渝肺炎组疫发〔202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default"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default" w:ascii="方正仿宋_GBK" w:hAnsi="宋体" w:eastAsia="方正仿宋_GBK" w:cs="Times New Roman"/>
          <w:color w:val="000000" w:themeColor="text1"/>
          <w:sz w:val="24"/>
          <w:szCs w:val="24"/>
          <w:lang w:eastAsia="zh-CN"/>
          <w14:textFill>
            <w14:solidFill>
              <w14:schemeClr w14:val="tx1"/>
            </w14:solidFill>
          </w14:textFill>
        </w:rPr>
        <w:t>号</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《疫情期间工作人员离永返永返岗管理制度的通知》</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重医永川医院肺炎组〔2021〕13号），结</w:t>
      </w:r>
      <w:r>
        <w:rPr>
          <w:rFonts w:hint="eastAsia" w:ascii="方正仿宋_GBK" w:hAnsi="宋体" w:eastAsia="方正仿宋_GBK" w:cs="Times New Roman"/>
          <w:color w:val="000000" w:themeColor="text1"/>
          <w:sz w:val="24"/>
          <w:szCs w:val="24"/>
          <w:lang w:eastAsia="zh-CN"/>
          <w14:textFill>
            <w14:solidFill>
              <w14:schemeClr w14:val="tx1"/>
            </w14:solidFill>
          </w14:textFill>
        </w:rPr>
        <w:t>合本院实际，</w:t>
      </w:r>
      <w:r>
        <w:rPr>
          <w:rFonts w:hint="eastAsia" w:ascii="方正仿宋_GBK" w:hAnsi="宋体" w:eastAsia="方正仿宋_GBK" w:cs="Times New Roman"/>
          <w:color w:val="000000" w:themeColor="text1"/>
          <w:sz w:val="24"/>
          <w:szCs w:val="24"/>
          <w14:textFill>
            <w14:solidFill>
              <w14:schemeClr w14:val="tx1"/>
            </w14:solidFill>
          </w14:textFill>
        </w:rPr>
        <w:t>现就持续统筹做好疫情防控工作</w:t>
      </w:r>
      <w:r>
        <w:rPr>
          <w:rFonts w:hint="eastAsia" w:ascii="方正仿宋_GBK" w:hAnsi="宋体" w:eastAsia="方正仿宋_GBK" w:cs="Times New Roman"/>
          <w:color w:val="000000" w:themeColor="text1"/>
          <w:sz w:val="24"/>
          <w:szCs w:val="24"/>
          <w:lang w:eastAsia="zh-CN"/>
          <w14:textFill>
            <w14:solidFill>
              <w14:schemeClr w14:val="tx1"/>
            </w14:solidFill>
          </w14:textFill>
        </w:rPr>
        <w:t>告知</w:t>
      </w:r>
      <w:r>
        <w:rPr>
          <w:rFonts w:hint="eastAsia" w:ascii="方正仿宋_GBK" w:hAnsi="宋体" w:eastAsia="方正仿宋_GBK" w:cs="Times New Roman"/>
          <w:color w:val="000000" w:themeColor="text1"/>
          <w:sz w:val="24"/>
          <w:szCs w:val="24"/>
          <w14:textFill>
            <w14:solidFill>
              <w14:schemeClr w14:val="tx1"/>
            </w14:solidFill>
          </w14:textFill>
        </w:rPr>
        <w:t>如下</w:t>
      </w:r>
      <w:r>
        <w:rPr>
          <w:rFonts w:hint="eastAsia" w:ascii="方正仿宋_GBK" w:hAnsi="宋体" w:eastAsia="方正仿宋_GBK" w:cs="Times New Roman"/>
          <w:color w:val="000000" w:themeColor="text1"/>
          <w:sz w:val="24"/>
          <w:szCs w:val="24"/>
          <w:lang w:eastAsia="zh-CN"/>
          <w14:textFill>
            <w14:solidFill>
              <w14:schemeClr w14:val="tx1"/>
            </w14:solidFill>
          </w14:textFill>
        </w:rPr>
        <w:t>，请配合完成。</w:t>
      </w:r>
    </w:p>
    <w:p>
      <w:pPr>
        <w:widowControl/>
        <w:spacing w:line="400" w:lineRule="exact"/>
        <w:ind w:firstLine="480" w:firstLineChars="200"/>
        <w:jc w:val="left"/>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1、所有到重庆医科大学附属永川医院参加采购相关活动的人员，均参照本医院职工疫情管理规定执行。</w:t>
      </w:r>
    </w:p>
    <w:p>
      <w:pPr>
        <w:widowControl/>
        <w:spacing w:line="400" w:lineRule="exact"/>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境内重点地区来渝返渝人员</w:t>
      </w:r>
      <w:r>
        <w:rPr>
          <w:rFonts w:hint="eastAsia" w:ascii="方正仿宋_GBK" w:hAnsi="宋体" w:eastAsia="方正仿宋_GBK" w:cs="Times New Roman"/>
          <w:color w:val="000000" w:themeColor="text1"/>
          <w:sz w:val="24"/>
          <w:szCs w:val="24"/>
          <w:lang w:eastAsia="zh-CN"/>
          <w14:textFill>
            <w14:solidFill>
              <w14:schemeClr w14:val="tx1"/>
            </w14:solidFill>
          </w14:textFill>
        </w:rPr>
        <w:t>实行</w:t>
      </w:r>
      <w:r>
        <w:rPr>
          <w:rFonts w:hint="eastAsia" w:ascii="方正仿宋_GBK" w:hAnsi="宋体" w:eastAsia="方正仿宋_GBK" w:cs="Times New Roman"/>
          <w:color w:val="000000" w:themeColor="text1"/>
          <w:sz w:val="24"/>
          <w:szCs w:val="24"/>
          <w14:textFill>
            <w14:solidFill>
              <w14:schemeClr w14:val="tx1"/>
            </w14:solidFill>
          </w14:textFill>
        </w:rPr>
        <w:t>分类管理</w:t>
      </w:r>
      <w:r>
        <w:rPr>
          <w:rFonts w:hint="eastAsia" w:ascii="方正仿宋_GBK" w:hAnsi="宋体" w:eastAsia="方正仿宋_GBK" w:cs="Times New Roman"/>
          <w:color w:val="000000" w:themeColor="text1"/>
          <w:sz w:val="24"/>
          <w:szCs w:val="24"/>
          <w:lang w:eastAsia="zh-CN"/>
          <w14:textFill>
            <w14:solidFill>
              <w14:schemeClr w14:val="tx1"/>
            </w14:solidFill>
          </w14:textFill>
        </w:rPr>
        <w:t>，具体如下：</w:t>
      </w:r>
    </w:p>
    <w:p>
      <w:pPr>
        <w:widowControl/>
        <w:spacing w:line="400" w:lineRule="exact"/>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对高、中风险区来渝返渝人员和外省（区、市）确定的特定时段、特定空间高风险人群，施行集中隔离医学观察，第1、4、7、10、14天各做1次核酸检测。</w:t>
      </w:r>
      <w:r>
        <w:rPr>
          <w:rFonts w:hint="eastAsia" w:ascii="方正仿宋_GBK" w:hAnsi="宋体" w:eastAsia="方正仿宋_GBK" w:cs="Times New Roman"/>
          <w:color w:val="000000" w:themeColor="text1"/>
          <w:sz w:val="24"/>
          <w:szCs w:val="24"/>
          <w:lang w:eastAsia="zh-CN"/>
          <w14:textFill>
            <w14:solidFill>
              <w14:schemeClr w14:val="tx1"/>
            </w14:solidFill>
          </w14:textFill>
        </w:rPr>
        <w:t>到本院办事须持集中医学观察期间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5次核酸阴性证明+</w:t>
      </w:r>
      <w:r>
        <w:rPr>
          <w:rFonts w:hint="eastAsia" w:ascii="方正仿宋_GBK" w:hAnsi="宋体" w:eastAsia="方正仿宋_GBK" w:cs="Times New Roman"/>
          <w:color w:val="000000" w:themeColor="text1"/>
          <w:sz w:val="24"/>
          <w:szCs w:val="24"/>
          <w:lang w:eastAsia="zh-CN"/>
          <w14:textFill>
            <w14:solidFill>
              <w14:schemeClr w14:val="tx1"/>
            </w14:solidFill>
          </w14:textFill>
        </w:rPr>
        <w:t>解除隔离证明</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+健康绿码+行程码，</w:t>
      </w:r>
      <w:r>
        <w:rPr>
          <w:rFonts w:hint="eastAsia" w:ascii="方正仿宋_GBK" w:hAnsi="宋体" w:eastAsia="方正仿宋_GBK" w:cs="Times New Roman"/>
          <w:color w:val="000000" w:themeColor="text1"/>
          <w:sz w:val="24"/>
          <w:szCs w:val="24"/>
          <w:lang w:eastAsia="zh-CN"/>
          <w14:textFill>
            <w14:solidFill>
              <w14:schemeClr w14:val="tx1"/>
            </w14:solidFill>
          </w14:textFill>
        </w:rPr>
        <w:t>无法提供者严禁到本院办事。</w:t>
      </w:r>
    </w:p>
    <w:p>
      <w:pPr>
        <w:widowControl/>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对高风险区所在县（市、区）的其他低风险地区来渝返渝人员，施行7天居家隔离+7天健康监测（第1、7、10、14天各做1次核酸检测）。</w:t>
      </w:r>
      <w:r>
        <w:rPr>
          <w:rFonts w:hint="eastAsia" w:ascii="方正仿宋_GBK" w:hAnsi="宋体" w:eastAsia="方正仿宋_GBK" w:cs="Times New Roman"/>
          <w:color w:val="000000" w:themeColor="text1"/>
          <w:sz w:val="24"/>
          <w:szCs w:val="24"/>
          <w:lang w:eastAsia="zh-CN"/>
          <w14:textFill>
            <w14:solidFill>
              <w14:schemeClr w14:val="tx1"/>
            </w14:solidFill>
          </w14:textFill>
        </w:rPr>
        <w:t>到本院办事须持居家隔离和健康监测期间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4次核酸阴性证明</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健康绿码+行程码，</w:t>
      </w:r>
      <w:r>
        <w:rPr>
          <w:rFonts w:hint="eastAsia" w:ascii="方正仿宋_GBK" w:hAnsi="宋体" w:eastAsia="方正仿宋_GBK" w:cs="Times New Roman"/>
          <w:color w:val="000000" w:themeColor="text1"/>
          <w:sz w:val="24"/>
          <w:szCs w:val="24"/>
          <w:lang w:eastAsia="zh-CN"/>
          <w14:textFill>
            <w14:solidFill>
              <w14:schemeClr w14:val="tx1"/>
            </w14:solidFill>
          </w14:textFill>
        </w:rPr>
        <w:t>特殊情况需另行申请。</w:t>
      </w:r>
    </w:p>
    <w:p>
      <w:pPr>
        <w:widowControl/>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对中风险区所在县（市、区）的其他低风险区来渝返渝人员和外省（区、市）高风险岗位的来渝返渝人员（自行申报），实施14天自我健康监测（第1、7、10、14天各做1次核酸检测，前</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次检测结果出来之前原则上居家观察）。</w:t>
      </w:r>
      <w:r>
        <w:rPr>
          <w:rFonts w:hint="eastAsia" w:ascii="方正仿宋_GBK" w:hAnsi="宋体" w:eastAsia="方正仿宋_GBK" w:cs="Times New Roman"/>
          <w:color w:val="000000" w:themeColor="text1"/>
          <w:sz w:val="24"/>
          <w:szCs w:val="24"/>
          <w:lang w:eastAsia="zh-CN"/>
          <w14:textFill>
            <w14:solidFill>
              <w14:schemeClr w14:val="tx1"/>
            </w14:solidFill>
          </w14:textFill>
        </w:rPr>
        <w:t>到本院办事须持</w:t>
      </w:r>
      <w:r>
        <w:rPr>
          <w:rFonts w:hint="eastAsia" w:ascii="方正仿宋_GBK" w:hAnsi="宋体" w:eastAsia="方正仿宋_GBK" w:cs="Times New Roman"/>
          <w:color w:val="000000" w:themeColor="text1"/>
          <w:sz w:val="24"/>
          <w:szCs w:val="24"/>
          <w14:textFill>
            <w14:solidFill>
              <w14:schemeClr w14:val="tx1"/>
            </w14:solidFill>
          </w14:textFill>
        </w:rPr>
        <w:t>健康监测</w:t>
      </w:r>
      <w:r>
        <w:rPr>
          <w:rFonts w:hint="eastAsia" w:ascii="方正仿宋_GBK" w:hAnsi="宋体" w:eastAsia="方正仿宋_GBK" w:cs="Times New Roman"/>
          <w:color w:val="000000" w:themeColor="text1"/>
          <w:sz w:val="24"/>
          <w:szCs w:val="24"/>
          <w:lang w:eastAsia="zh-CN"/>
          <w14:textFill>
            <w14:solidFill>
              <w14:schemeClr w14:val="tx1"/>
            </w14:solidFill>
          </w14:textFill>
        </w:rPr>
        <w:t>期间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前2次核酸阴性证明+健康绿码+行程码</w:t>
      </w:r>
      <w:r>
        <w:rPr>
          <w:rFonts w:hint="eastAsia" w:ascii="方正仿宋_GBK" w:hAnsi="宋体" w:eastAsia="方正仿宋_GBK" w:cs="Times New Roman"/>
          <w:color w:val="000000" w:themeColor="text1"/>
          <w:sz w:val="24"/>
          <w:szCs w:val="24"/>
          <w:lang w:eastAsia="zh-CN"/>
          <w14:textFill>
            <w14:solidFill>
              <w14:schemeClr w14:val="tx1"/>
            </w14:solidFill>
          </w14:textFill>
        </w:rPr>
        <w:t>，特殊情况需另行申请。</w:t>
      </w:r>
    </w:p>
    <w:p>
      <w:pPr>
        <w:widowControl/>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对高、中风险区所在地市的其他县（市、区）来渝返渝人员和未划定高、中风险区但出现本土病例的所在地市来渝返渝人员，实施7天自我健康监测（在</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天内完成2次核酸检测，2次采样间隔至少</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72</w:t>
      </w:r>
      <w:r>
        <w:rPr>
          <w:rFonts w:hint="eastAsia" w:ascii="方正仿宋_GBK" w:hAnsi="宋体" w:eastAsia="方正仿宋_GBK" w:cs="Times New Roman"/>
          <w:color w:val="000000" w:themeColor="text1"/>
          <w:sz w:val="24"/>
          <w:szCs w:val="24"/>
          <w14:textFill>
            <w14:solidFill>
              <w14:schemeClr w14:val="tx1"/>
            </w14:solidFill>
          </w14:textFill>
        </w:rPr>
        <w:t>小时，2次检测结果出来前原则上居家观察）。</w:t>
      </w:r>
      <w:r>
        <w:rPr>
          <w:rFonts w:hint="eastAsia" w:ascii="方正仿宋_GBK" w:hAnsi="宋体" w:eastAsia="方正仿宋_GBK" w:cs="Times New Roman"/>
          <w:color w:val="000000" w:themeColor="text1"/>
          <w:sz w:val="24"/>
          <w:szCs w:val="24"/>
          <w:lang w:eastAsia="zh-CN"/>
          <w14:textFill>
            <w14:solidFill>
              <w14:schemeClr w14:val="tx1"/>
            </w14:solidFill>
          </w14:textFill>
        </w:rPr>
        <w:t>到本院办事须持</w:t>
      </w:r>
      <w:r>
        <w:rPr>
          <w:rFonts w:hint="eastAsia" w:ascii="方正仿宋_GBK" w:hAnsi="宋体" w:eastAsia="方正仿宋_GBK" w:cs="Times New Roman"/>
          <w:color w:val="000000" w:themeColor="text1"/>
          <w:sz w:val="24"/>
          <w:szCs w:val="24"/>
          <w14:textFill>
            <w14:solidFill>
              <w14:schemeClr w14:val="tx1"/>
            </w14:solidFill>
          </w14:textFill>
        </w:rPr>
        <w:t>健康监测</w:t>
      </w:r>
      <w:r>
        <w:rPr>
          <w:rFonts w:hint="eastAsia" w:ascii="方正仿宋_GBK" w:hAnsi="宋体" w:eastAsia="方正仿宋_GBK" w:cs="Times New Roman"/>
          <w:color w:val="000000" w:themeColor="text1"/>
          <w:sz w:val="24"/>
          <w:szCs w:val="24"/>
          <w:lang w:eastAsia="zh-CN"/>
          <w14:textFill>
            <w14:solidFill>
              <w14:schemeClr w14:val="tx1"/>
            </w14:solidFill>
          </w14:textFill>
        </w:rPr>
        <w:t>期间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2次核酸（</w:t>
      </w:r>
      <w:r>
        <w:rPr>
          <w:rFonts w:hint="eastAsia" w:ascii="方正仿宋_GBK" w:hAnsi="宋体" w:eastAsia="方正仿宋_GBK" w:cs="Times New Roman"/>
          <w:color w:val="000000" w:themeColor="text1"/>
          <w:sz w:val="24"/>
          <w:szCs w:val="24"/>
          <w14:textFill>
            <w14:solidFill>
              <w14:schemeClr w14:val="tx1"/>
            </w14:solidFill>
          </w14:textFill>
        </w:rPr>
        <w:t>间隔至少</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72</w:t>
      </w:r>
      <w:r>
        <w:rPr>
          <w:rFonts w:hint="eastAsia" w:ascii="方正仿宋_GBK" w:hAnsi="宋体" w:eastAsia="方正仿宋_GBK" w:cs="Times New Roman"/>
          <w:color w:val="000000" w:themeColor="text1"/>
          <w:sz w:val="24"/>
          <w:szCs w:val="24"/>
          <w14:textFill>
            <w14:solidFill>
              <w14:schemeClr w14:val="tx1"/>
            </w14:solidFill>
          </w14:textFill>
        </w:rPr>
        <w:t>小时</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）阴性证明+健康绿码+行程码</w:t>
      </w:r>
      <w:r>
        <w:rPr>
          <w:rFonts w:hint="eastAsia" w:ascii="方正仿宋_GBK" w:hAnsi="宋体" w:eastAsia="方正仿宋_GBK" w:cs="Times New Roman"/>
          <w:color w:val="000000" w:themeColor="text1"/>
          <w:sz w:val="24"/>
          <w:szCs w:val="24"/>
          <w:lang w:eastAsia="zh-CN"/>
          <w14:textFill>
            <w14:solidFill>
              <w14:schemeClr w14:val="tx1"/>
            </w14:solidFill>
          </w14:textFill>
        </w:rPr>
        <w:t>，特殊情况需另行申请。</w:t>
      </w:r>
    </w:p>
    <w:p>
      <w:pPr>
        <w:widowControl/>
        <w:spacing w:line="400" w:lineRule="exact"/>
        <w:ind w:firstLine="480" w:firstLineChars="200"/>
        <w:jc w:val="left"/>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default" w:ascii="方正仿宋_GBK" w:hAnsi="宋体" w:eastAsia="方正仿宋_GBK" w:cs="Times New Roman"/>
          <w:color w:val="000000" w:themeColor="text1"/>
          <w:sz w:val="24"/>
          <w:szCs w:val="24"/>
          <w14:textFill>
            <w14:solidFill>
              <w14:schemeClr w14:val="tx1"/>
            </w14:solidFill>
          </w14:textFill>
        </w:rPr>
        <w:t>（5）除外上述情形的市外低风险区来渝返渝人员，参照第（4）条执行</w:t>
      </w:r>
      <w:r>
        <w:rPr>
          <w:rFonts w:hint="eastAsia" w:ascii="方正仿宋_GBK" w:hAnsi="宋体" w:eastAsia="方正仿宋_GBK" w:cs="Times New Roman"/>
          <w:color w:val="000000" w:themeColor="text1"/>
          <w:sz w:val="24"/>
          <w:szCs w:val="24"/>
          <w:lang w:eastAsia="zh-CN"/>
          <w14:textFill>
            <w14:solidFill>
              <w14:schemeClr w14:val="tx1"/>
            </w14:solidFill>
          </w14:textFill>
        </w:rPr>
        <w:t>，原则上需</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进行</w:t>
      </w:r>
      <w:r>
        <w:rPr>
          <w:rFonts w:hint="eastAsia" w:ascii="方正仿宋_GBK" w:hAnsi="宋体" w:eastAsia="方正仿宋_GBK" w:cs="Times New Roman"/>
          <w:color w:val="000000" w:themeColor="text1"/>
          <w:sz w:val="24"/>
          <w:szCs w:val="24"/>
          <w14:textFill>
            <w14:solidFill>
              <w14:schemeClr w14:val="tx1"/>
            </w14:solidFill>
          </w14:textFill>
        </w:rPr>
        <w:t>2次</w:t>
      </w:r>
      <w:r>
        <w:rPr>
          <w:rFonts w:hint="eastAsia" w:ascii="方正仿宋_GBK" w:hAnsi="宋体" w:eastAsia="方正仿宋_GBK" w:cs="Times New Roman"/>
          <w:color w:val="000000" w:themeColor="text1"/>
          <w:sz w:val="24"/>
          <w:szCs w:val="24"/>
          <w:lang w:eastAsia="zh-CN"/>
          <w14:textFill>
            <w14:solidFill>
              <w14:schemeClr w14:val="tx1"/>
            </w14:solidFill>
          </w14:textFill>
        </w:rPr>
        <w:t>核酸</w:t>
      </w:r>
      <w:r>
        <w:rPr>
          <w:rFonts w:hint="eastAsia" w:ascii="方正仿宋_GBK" w:hAnsi="宋体" w:eastAsia="方正仿宋_GBK" w:cs="Times New Roman"/>
          <w:color w:val="000000" w:themeColor="text1"/>
          <w:sz w:val="24"/>
          <w:szCs w:val="24"/>
          <w14:textFill>
            <w14:solidFill>
              <w14:schemeClr w14:val="tx1"/>
            </w14:solidFill>
          </w14:textFill>
        </w:rPr>
        <w:t>检测</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间隔至少</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72</w:t>
      </w:r>
      <w:r>
        <w:rPr>
          <w:rFonts w:hint="eastAsia" w:ascii="方正仿宋_GBK" w:hAnsi="宋体" w:eastAsia="方正仿宋_GBK" w:cs="Times New Roman"/>
          <w:color w:val="000000" w:themeColor="text1"/>
          <w:sz w:val="24"/>
          <w:szCs w:val="24"/>
          <w14:textFill>
            <w14:solidFill>
              <w14:schemeClr w14:val="tx1"/>
            </w14:solidFill>
          </w14:textFill>
        </w:rPr>
        <w:t>小时</w:t>
      </w:r>
      <w:r>
        <w:rPr>
          <w:rFonts w:hint="eastAsia" w:ascii="方正仿宋_GBK" w:hAnsi="宋体" w:eastAsia="方正仿宋_GBK" w:cs="Times New Roman"/>
          <w:color w:val="000000" w:themeColor="text1"/>
          <w:sz w:val="24"/>
          <w:szCs w:val="24"/>
          <w:lang w:eastAsia="zh-CN"/>
          <w14:textFill>
            <w14:solidFill>
              <w14:schemeClr w14:val="tx1"/>
            </w14:solidFill>
          </w14:textFill>
        </w:rPr>
        <w:t>）且</w:t>
      </w:r>
      <w:r>
        <w:rPr>
          <w:rFonts w:hint="eastAsia" w:ascii="方正仿宋_GBK" w:hAnsi="宋体" w:eastAsia="方正仿宋_GBK" w:cs="Times New Roman"/>
          <w:color w:val="000000" w:themeColor="text1"/>
          <w:sz w:val="24"/>
          <w:szCs w:val="24"/>
          <w14:textFill>
            <w14:solidFill>
              <w14:schemeClr w14:val="tx1"/>
            </w14:solidFill>
          </w14:textFill>
        </w:rPr>
        <w:t>结果</w:t>
      </w:r>
      <w:r>
        <w:rPr>
          <w:rFonts w:hint="eastAsia" w:ascii="方正仿宋_GBK" w:hAnsi="宋体" w:eastAsia="方正仿宋_GBK" w:cs="Times New Roman"/>
          <w:color w:val="000000" w:themeColor="text1"/>
          <w:sz w:val="24"/>
          <w:szCs w:val="24"/>
          <w:lang w:eastAsia="zh-CN"/>
          <w14:textFill>
            <w14:solidFill>
              <w14:schemeClr w14:val="tx1"/>
            </w14:solidFill>
          </w14:textFill>
        </w:rPr>
        <w:t>阴性方可来本院办事，到本院办事须持</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2次核酸（</w:t>
      </w:r>
      <w:r>
        <w:rPr>
          <w:rFonts w:hint="eastAsia" w:ascii="方正仿宋_GBK" w:hAnsi="宋体" w:eastAsia="方正仿宋_GBK" w:cs="Times New Roman"/>
          <w:color w:val="000000" w:themeColor="text1"/>
          <w:sz w:val="24"/>
          <w:szCs w:val="24"/>
          <w14:textFill>
            <w14:solidFill>
              <w14:schemeClr w14:val="tx1"/>
            </w14:solidFill>
          </w14:textFill>
        </w:rPr>
        <w:t>间隔至少</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72</w:t>
      </w:r>
      <w:r>
        <w:rPr>
          <w:rFonts w:hint="eastAsia" w:ascii="方正仿宋_GBK" w:hAnsi="宋体" w:eastAsia="方正仿宋_GBK" w:cs="Times New Roman"/>
          <w:color w:val="000000" w:themeColor="text1"/>
          <w:sz w:val="24"/>
          <w:szCs w:val="24"/>
          <w14:textFill>
            <w14:solidFill>
              <w14:schemeClr w14:val="tx1"/>
            </w14:solidFill>
          </w14:textFill>
        </w:rPr>
        <w:t>小时</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）阴性证明+健康绿码+行程码，</w:t>
      </w:r>
      <w:r>
        <w:rPr>
          <w:rFonts w:hint="eastAsia" w:ascii="方正仿宋_GBK" w:hAnsi="宋体" w:eastAsia="方正仿宋_GBK" w:cs="Times New Roman"/>
          <w:color w:val="000000" w:themeColor="text1"/>
          <w:sz w:val="24"/>
          <w:szCs w:val="24"/>
          <w:lang w:eastAsia="zh-CN"/>
          <w14:textFill>
            <w14:solidFill>
              <w14:schemeClr w14:val="tx1"/>
            </w14:solidFill>
          </w14:textFill>
        </w:rPr>
        <w:t>特殊情况需另行申请。</w:t>
      </w:r>
    </w:p>
    <w:p>
      <w:pPr>
        <w:widowControl/>
        <w:spacing w:line="400" w:lineRule="exact"/>
        <w:ind w:firstLine="480" w:firstLineChars="200"/>
        <w:jc w:val="left"/>
        <w:rPr>
          <w:color w:val="000000" w:themeColor="text1"/>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3、重庆市内人员持48小时内核酸检测阴性证明+健康绿码+行程码。如重庆市发现本土疫情，则严格按照上级要求执行相关管理规定。</w:t>
      </w:r>
    </w:p>
    <w:p>
      <w:pPr>
        <w:rPr>
          <w:rFonts w:hint="eastAsia" w:ascii="微软雅黑" w:hAnsi="微软雅黑" w:eastAsia="微软雅黑" w:cs="微软雅黑"/>
          <w:color w:val="000000" w:themeColor="text1"/>
          <w14:textFill>
            <w14:solidFill>
              <w14:schemeClr w14:val="tx1"/>
            </w14:solidFill>
          </w14:textFill>
        </w:rPr>
      </w:pPr>
    </w:p>
    <w:sectPr>
      <w:headerReference r:id="rId8"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480"/>
      <w:jc w:val="right"/>
    </w:pPr>
    <w:r>
      <w:fldChar w:fldCharType="begin"/>
    </w:r>
    <w:r>
      <w:instrText xml:space="preserve"> PAGE   \* MERGEFORMAT </w:instrText>
    </w:r>
    <w:r>
      <w:fldChar w:fldCharType="separate"/>
    </w:r>
    <w:r>
      <w:rPr>
        <w:lang w:val="zh-CN"/>
      </w:rPr>
      <w:t>1</w:t>
    </w:r>
    <w:r>
      <w:fldChar w:fldCharType="end"/>
    </w:r>
  </w:p>
  <w:p>
    <w:pPr>
      <w:pStyle w:val="36"/>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both"/>
      <w:rPr>
        <w:rFonts w:ascii="方正仿宋_GBK" w:eastAsia="方正仿宋_GBK"/>
        <w:sz w:val="21"/>
        <w:szCs w:val="21"/>
      </w:rPr>
    </w:pPr>
    <w:r>
      <w:rPr>
        <w:rFonts w:hint="eastAsia" w:ascii="方正仿宋_GBK" w:eastAsia="方正仿宋_GBK"/>
        <w:sz w:val="21"/>
        <w:szCs w:val="21"/>
        <w:lang w:eastAsia="zh-CN"/>
      </w:rPr>
      <w:t>重庆医科大学附属永川医院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180" w:firstLineChars="100"/>
      <w:jc w:val="both"/>
    </w:pPr>
    <w:r>
      <w:rPr>
        <w:rFonts w:hint="eastAsia"/>
      </w:rPr>
      <w:t>重庆医科大学附属永川医院                                                             比选文件</w:t>
    </w:r>
  </w:p>
  <w:p>
    <w:pPr>
      <w:pStyle w:val="37"/>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166DC9"/>
    <w:multiLevelType w:val="singleLevel"/>
    <w:tmpl w:val="E8166DC9"/>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8F2089"/>
    <w:rsid w:val="019452C3"/>
    <w:rsid w:val="02134A68"/>
    <w:rsid w:val="02443CCC"/>
    <w:rsid w:val="03815A06"/>
    <w:rsid w:val="03A2085B"/>
    <w:rsid w:val="05C13A1B"/>
    <w:rsid w:val="0721282E"/>
    <w:rsid w:val="074402CA"/>
    <w:rsid w:val="07F26429"/>
    <w:rsid w:val="09434CDD"/>
    <w:rsid w:val="09B72FD5"/>
    <w:rsid w:val="09D43B87"/>
    <w:rsid w:val="0A1B1B34"/>
    <w:rsid w:val="0A40746F"/>
    <w:rsid w:val="0A8E290A"/>
    <w:rsid w:val="0A944E79"/>
    <w:rsid w:val="0C04116E"/>
    <w:rsid w:val="0CFA713D"/>
    <w:rsid w:val="0E4D3D6E"/>
    <w:rsid w:val="0F4E2FBE"/>
    <w:rsid w:val="0F7E7F7C"/>
    <w:rsid w:val="103B4960"/>
    <w:rsid w:val="117619C8"/>
    <w:rsid w:val="119A74EE"/>
    <w:rsid w:val="130F5FD6"/>
    <w:rsid w:val="13C828A5"/>
    <w:rsid w:val="14934210"/>
    <w:rsid w:val="15F02D77"/>
    <w:rsid w:val="174B0728"/>
    <w:rsid w:val="182E2D3A"/>
    <w:rsid w:val="186C309B"/>
    <w:rsid w:val="1C76287C"/>
    <w:rsid w:val="1D50131F"/>
    <w:rsid w:val="20036B1D"/>
    <w:rsid w:val="20126D60"/>
    <w:rsid w:val="20F448C3"/>
    <w:rsid w:val="21D60689"/>
    <w:rsid w:val="22D200FE"/>
    <w:rsid w:val="256354A4"/>
    <w:rsid w:val="25B7688A"/>
    <w:rsid w:val="27F92FE8"/>
    <w:rsid w:val="284037CA"/>
    <w:rsid w:val="2A0E1D06"/>
    <w:rsid w:val="2ADC2444"/>
    <w:rsid w:val="2DDF20E9"/>
    <w:rsid w:val="2E0B376C"/>
    <w:rsid w:val="2F6678EA"/>
    <w:rsid w:val="30FE7678"/>
    <w:rsid w:val="31B04B94"/>
    <w:rsid w:val="31EC5663"/>
    <w:rsid w:val="34346E4D"/>
    <w:rsid w:val="344828F8"/>
    <w:rsid w:val="34B16371"/>
    <w:rsid w:val="35F44640"/>
    <w:rsid w:val="37887BDC"/>
    <w:rsid w:val="379777B6"/>
    <w:rsid w:val="37E62B54"/>
    <w:rsid w:val="3AA47E8C"/>
    <w:rsid w:val="3AD16319"/>
    <w:rsid w:val="3B343BD6"/>
    <w:rsid w:val="3C584C71"/>
    <w:rsid w:val="3CB72D11"/>
    <w:rsid w:val="3EF515B6"/>
    <w:rsid w:val="41A95453"/>
    <w:rsid w:val="422E794F"/>
    <w:rsid w:val="42EA799C"/>
    <w:rsid w:val="46492C2C"/>
    <w:rsid w:val="46530A72"/>
    <w:rsid w:val="472F38FB"/>
    <w:rsid w:val="478C7274"/>
    <w:rsid w:val="487F5FB0"/>
    <w:rsid w:val="492C6FBB"/>
    <w:rsid w:val="4A1025A8"/>
    <w:rsid w:val="4A9B745B"/>
    <w:rsid w:val="4A9F217D"/>
    <w:rsid w:val="4C4E289A"/>
    <w:rsid w:val="4CD86AB8"/>
    <w:rsid w:val="4CE948F5"/>
    <w:rsid w:val="4E1C5D28"/>
    <w:rsid w:val="51410410"/>
    <w:rsid w:val="52E77A54"/>
    <w:rsid w:val="559F4616"/>
    <w:rsid w:val="56603C59"/>
    <w:rsid w:val="586A560E"/>
    <w:rsid w:val="5A4F384B"/>
    <w:rsid w:val="5B3E21DC"/>
    <w:rsid w:val="5CAB4D47"/>
    <w:rsid w:val="5DA43465"/>
    <w:rsid w:val="5EBD3D5F"/>
    <w:rsid w:val="5F100641"/>
    <w:rsid w:val="5FEC48FC"/>
    <w:rsid w:val="600C2DD5"/>
    <w:rsid w:val="627C7B61"/>
    <w:rsid w:val="66521231"/>
    <w:rsid w:val="67374299"/>
    <w:rsid w:val="691A195A"/>
    <w:rsid w:val="69B647F5"/>
    <w:rsid w:val="69BD2E65"/>
    <w:rsid w:val="69DC0241"/>
    <w:rsid w:val="6A9629BD"/>
    <w:rsid w:val="6B9D2D24"/>
    <w:rsid w:val="6BFF3B18"/>
    <w:rsid w:val="6CD7038F"/>
    <w:rsid w:val="6DFF1C9E"/>
    <w:rsid w:val="6F2C5AC8"/>
    <w:rsid w:val="709F58D0"/>
    <w:rsid w:val="72AC7F1B"/>
    <w:rsid w:val="73B9644B"/>
    <w:rsid w:val="74091F02"/>
    <w:rsid w:val="749635F1"/>
    <w:rsid w:val="77C8506D"/>
    <w:rsid w:val="783A1618"/>
    <w:rsid w:val="7977D9D0"/>
    <w:rsid w:val="7B306E47"/>
    <w:rsid w:val="7B810197"/>
    <w:rsid w:val="7BBB4173"/>
    <w:rsid w:val="7CC85951"/>
    <w:rsid w:val="7FFB81D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2"/>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3"/>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4"/>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5"/>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6"/>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7"/>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2">
    <w:name w:val="index 9"/>
    <w:basedOn w:val="1"/>
    <w:next w:val="1"/>
    <w:semiHidden/>
    <w:qFormat/>
    <w:uiPriority w:val="0"/>
    <w:pPr>
      <w:ind w:left="1600" w:leftChars="1600"/>
    </w:pPr>
  </w:style>
  <w:style w:type="paragraph" w:styleId="12">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qFormat/>
    <w:uiPriority w:val="0"/>
    <w:pPr>
      <w:ind w:left="2520" w:leftChars="1200"/>
    </w:pPr>
    <w:rPr>
      <w:rFonts w:ascii="Times New Roman" w:hAnsi="Times New Roman" w:eastAsia="宋体" w:cs="Times New Roman"/>
      <w:sz w:val="28"/>
      <w:szCs w:val="20"/>
    </w:rPr>
  </w:style>
  <w:style w:type="paragraph" w:styleId="14">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9"/>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qFormat/>
    <w:uiPriority w:val="0"/>
    <w:pPr>
      <w:spacing w:before="120"/>
    </w:pPr>
    <w:rPr>
      <w:rFonts w:ascii="Arial" w:hAnsi="Arial" w:eastAsia="宋体" w:cs="Times New Roman"/>
      <w:sz w:val="24"/>
      <w:szCs w:val="20"/>
    </w:rPr>
  </w:style>
  <w:style w:type="paragraph" w:styleId="20">
    <w:name w:val="annotation text"/>
    <w:basedOn w:val="1"/>
    <w:link w:val="131"/>
    <w:unhideWhenUsed/>
    <w:qFormat/>
    <w:uiPriority w:val="0"/>
    <w:pPr>
      <w:jc w:val="left"/>
    </w:pPr>
  </w:style>
  <w:style w:type="paragraph" w:styleId="21">
    <w:name w:val="Body Text 3"/>
    <w:basedOn w:val="1"/>
    <w:link w:val="122"/>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w:basedOn w:val="1"/>
    <w:next w:val="1"/>
    <w:link w:val="124"/>
    <w:qFormat/>
    <w:uiPriority w:val="0"/>
    <w:rPr>
      <w:rFonts w:ascii="仿宋_GB2312" w:hAnsi="Times New Roman" w:eastAsia="仿宋_GB2312" w:cs="Times New Roman"/>
      <w:sz w:val="32"/>
      <w:szCs w:val="20"/>
    </w:rPr>
  </w:style>
  <w:style w:type="paragraph" w:styleId="24">
    <w:name w:val="Body Text Indent"/>
    <w:basedOn w:val="1"/>
    <w:link w:val="105"/>
    <w:qFormat/>
    <w:uiPriority w:val="0"/>
    <w:pPr>
      <w:spacing w:line="700" w:lineRule="exact"/>
      <w:ind w:left="960"/>
    </w:pPr>
    <w:rPr>
      <w:sz w:val="44"/>
    </w:rPr>
  </w:style>
  <w:style w:type="paragraph" w:styleId="25">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qFormat/>
    <w:uiPriority w:val="0"/>
    <w:pPr>
      <w:ind w:left="1680" w:leftChars="800"/>
    </w:pPr>
    <w:rPr>
      <w:rFonts w:ascii="Times New Roman" w:hAnsi="Times New Roman" w:eastAsia="宋体" w:cs="Times New Roman"/>
      <w:sz w:val="28"/>
      <w:szCs w:val="20"/>
    </w:rPr>
  </w:style>
  <w:style w:type="paragraph" w:styleId="30">
    <w:name w:val="toc 3"/>
    <w:basedOn w:val="1"/>
    <w:next w:val="1"/>
    <w:qFormat/>
    <w:uiPriority w:val="39"/>
    <w:pPr>
      <w:ind w:left="840" w:leftChars="400"/>
    </w:pPr>
    <w:rPr>
      <w:rFonts w:ascii="Times New Roman" w:hAnsi="Times New Roman" w:eastAsia="宋体" w:cs="Times New Roman"/>
      <w:sz w:val="28"/>
      <w:szCs w:val="20"/>
    </w:rPr>
  </w:style>
  <w:style w:type="paragraph" w:styleId="31">
    <w:name w:val="Plain Text"/>
    <w:basedOn w:val="1"/>
    <w:link w:val="92"/>
    <w:qFormat/>
    <w:uiPriority w:val="0"/>
    <w:rPr>
      <w:rFonts w:ascii="宋体" w:hAnsi="Courier New"/>
    </w:rPr>
  </w:style>
  <w:style w:type="paragraph" w:styleId="32">
    <w:name w:val="toc 8"/>
    <w:basedOn w:val="1"/>
    <w:next w:val="1"/>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qFormat/>
    <w:uiPriority w:val="0"/>
    <w:rPr>
      <w:sz w:val="28"/>
    </w:rPr>
  </w:style>
  <w:style w:type="paragraph" w:styleId="34">
    <w:name w:val="Body Text Indent 2"/>
    <w:basedOn w:val="1"/>
    <w:link w:val="78"/>
    <w:qFormat/>
    <w:uiPriority w:val="0"/>
    <w:pPr>
      <w:snapToGrid w:val="0"/>
      <w:spacing w:line="560" w:lineRule="atLeast"/>
      <w:ind w:firstLine="540"/>
    </w:pPr>
    <w:rPr>
      <w:sz w:val="28"/>
    </w:rPr>
  </w:style>
  <w:style w:type="paragraph" w:styleId="35">
    <w:name w:val="Balloon Text"/>
    <w:basedOn w:val="1"/>
    <w:link w:val="133"/>
    <w:qFormat/>
    <w:uiPriority w:val="0"/>
    <w:rPr>
      <w:rFonts w:ascii="Times New Roman" w:hAnsi="Times New Roman" w:eastAsia="宋体" w:cs="Times New Roman"/>
      <w:sz w:val="18"/>
      <w:szCs w:val="20"/>
    </w:rPr>
  </w:style>
  <w:style w:type="paragraph" w:styleId="36">
    <w:name w:val="footer"/>
    <w:basedOn w:val="1"/>
    <w:link w:val="106"/>
    <w:qFormat/>
    <w:uiPriority w:val="99"/>
    <w:pPr>
      <w:tabs>
        <w:tab w:val="center" w:pos="4153"/>
        <w:tab w:val="right" w:pos="8306"/>
      </w:tabs>
      <w:snapToGrid w:val="0"/>
      <w:jc w:val="left"/>
    </w:pPr>
    <w:rPr>
      <w:sz w:val="18"/>
    </w:rPr>
  </w:style>
  <w:style w:type="paragraph" w:styleId="37">
    <w:name w:val="header"/>
    <w:basedOn w:val="1"/>
    <w:link w:val="117"/>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qFormat/>
    <w:uiPriority w:val="0"/>
    <w:pPr>
      <w:spacing w:line="360" w:lineRule="auto"/>
    </w:pPr>
    <w:rPr>
      <w:sz w:val="18"/>
    </w:rPr>
  </w:style>
  <w:style w:type="paragraph" w:styleId="42">
    <w:name w:val="toc 6"/>
    <w:basedOn w:val="1"/>
    <w:next w:val="1"/>
    <w:qFormat/>
    <w:uiPriority w:val="0"/>
    <w:pPr>
      <w:ind w:left="2100" w:leftChars="1000"/>
    </w:pPr>
    <w:rPr>
      <w:rFonts w:ascii="Times New Roman" w:hAnsi="Times New Roman" w:eastAsia="宋体" w:cs="Times New Roman"/>
      <w:sz w:val="28"/>
      <w:szCs w:val="20"/>
    </w:rPr>
  </w:style>
  <w:style w:type="paragraph" w:styleId="43">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qFormat/>
    <w:uiPriority w:val="39"/>
    <w:pPr>
      <w:ind w:left="420" w:leftChars="200"/>
    </w:pPr>
    <w:rPr>
      <w:rFonts w:ascii="Times New Roman" w:hAnsi="Times New Roman" w:eastAsia="宋体" w:cs="Times New Roman"/>
      <w:sz w:val="28"/>
      <w:szCs w:val="20"/>
    </w:rPr>
  </w:style>
  <w:style w:type="paragraph" w:styleId="47">
    <w:name w:val="toc 9"/>
    <w:basedOn w:val="1"/>
    <w:next w:val="1"/>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20"/>
    <w:next w:val="20"/>
    <w:link w:val="80"/>
    <w:qFormat/>
    <w:uiPriority w:val="0"/>
    <w:rPr>
      <w:sz w:val="24"/>
    </w:rPr>
  </w:style>
  <w:style w:type="paragraph" w:styleId="57">
    <w:name w:val="Body Text First Indent"/>
    <w:basedOn w:val="1"/>
    <w:link w:val="134"/>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qFormat/>
    <w:uiPriority w:val="0"/>
    <w:pPr>
      <w:spacing w:after="120" w:line="240" w:lineRule="auto"/>
      <w:ind w:left="420" w:leftChars="200" w:firstLine="420" w:firstLineChars="200"/>
    </w:pPr>
  </w:style>
  <w:style w:type="table" w:styleId="60">
    <w:name w:val="Table Grid"/>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qFormat/>
    <w:uiPriority w:val="0"/>
    <w:rPr>
      <w:b/>
    </w:rPr>
  </w:style>
  <w:style w:type="character" w:styleId="63">
    <w:name w:val="page number"/>
    <w:basedOn w:val="61"/>
    <w:qFormat/>
    <w:uiPriority w:val="0"/>
  </w:style>
  <w:style w:type="character" w:styleId="64">
    <w:name w:val="FollowedHyperlink"/>
    <w:qFormat/>
    <w:uiPriority w:val="0"/>
    <w:rPr>
      <w:color w:val="800080"/>
      <w:u w:val="single"/>
    </w:rPr>
  </w:style>
  <w:style w:type="character" w:styleId="65">
    <w:name w:val="Emphasis"/>
    <w:qFormat/>
    <w:uiPriority w:val="0"/>
    <w:rPr>
      <w:i/>
    </w:rPr>
  </w:style>
  <w:style w:type="character" w:styleId="66">
    <w:name w:val="Hyperlink"/>
    <w:qFormat/>
    <w:uiPriority w:val="99"/>
    <w:rPr>
      <w:color w:val="0000FF"/>
      <w:u w:val="single"/>
    </w:rPr>
  </w:style>
  <w:style w:type="character" w:styleId="67">
    <w:name w:val="annotation reference"/>
    <w:qFormat/>
    <w:uiPriority w:val="0"/>
    <w:rPr>
      <w:sz w:val="21"/>
      <w:szCs w:val="21"/>
    </w:rPr>
  </w:style>
  <w:style w:type="character" w:styleId="68">
    <w:name w:val="footnote reference"/>
    <w:qFormat/>
    <w:uiPriority w:val="0"/>
    <w:rPr>
      <w:position w:val="6"/>
      <w:sz w:val="14"/>
      <w:vertAlign w:val="superscript"/>
    </w:rPr>
  </w:style>
  <w:style w:type="character" w:customStyle="1" w:styleId="69">
    <w:name w:val="标题 1 Char"/>
    <w:basedOn w:val="61"/>
    <w:link w:val="3"/>
    <w:qFormat/>
    <w:uiPriority w:val="0"/>
    <w:rPr>
      <w:rFonts w:ascii="宋体" w:hAnsi="Times New Roman" w:eastAsia="宋体" w:cs="Times New Roman"/>
      <w:sz w:val="28"/>
      <w:szCs w:val="20"/>
    </w:rPr>
  </w:style>
  <w:style w:type="character" w:customStyle="1" w:styleId="70">
    <w:name w:val="标题 2 Char"/>
    <w:basedOn w:val="61"/>
    <w:link w:val="4"/>
    <w:qFormat/>
    <w:uiPriority w:val="0"/>
    <w:rPr>
      <w:rFonts w:ascii="Arial" w:hAnsi="Arial" w:eastAsia="黑体" w:cs="Times New Roman"/>
      <w:b/>
      <w:sz w:val="32"/>
      <w:szCs w:val="20"/>
    </w:rPr>
  </w:style>
  <w:style w:type="character" w:customStyle="1" w:styleId="71">
    <w:name w:val="标题 3 Char"/>
    <w:basedOn w:val="61"/>
    <w:link w:val="5"/>
    <w:qFormat/>
    <w:uiPriority w:val="0"/>
    <w:rPr>
      <w:rFonts w:ascii="Times New Roman" w:hAnsi="Times New Roman" w:eastAsia="宋体" w:cs="Times New Roman"/>
      <w:b/>
      <w:sz w:val="32"/>
      <w:szCs w:val="20"/>
    </w:rPr>
  </w:style>
  <w:style w:type="character" w:customStyle="1" w:styleId="72">
    <w:name w:val="标题 4 Char"/>
    <w:basedOn w:val="61"/>
    <w:link w:val="6"/>
    <w:qFormat/>
    <w:uiPriority w:val="0"/>
    <w:rPr>
      <w:rFonts w:ascii="Arial" w:hAnsi="Arial" w:eastAsia="黑体" w:cs="Times New Roman"/>
      <w:b/>
      <w:sz w:val="28"/>
      <w:szCs w:val="20"/>
    </w:rPr>
  </w:style>
  <w:style w:type="character" w:customStyle="1" w:styleId="73">
    <w:name w:val="标题 5 Char"/>
    <w:basedOn w:val="61"/>
    <w:link w:val="7"/>
    <w:qFormat/>
    <w:uiPriority w:val="0"/>
    <w:rPr>
      <w:rFonts w:ascii="Times New Roman" w:hAnsi="Times New Roman" w:eastAsia="宋体" w:cs="Times New Roman"/>
      <w:b/>
      <w:sz w:val="28"/>
      <w:szCs w:val="20"/>
    </w:rPr>
  </w:style>
  <w:style w:type="character" w:customStyle="1" w:styleId="74">
    <w:name w:val="标题 6 Char"/>
    <w:basedOn w:val="61"/>
    <w:link w:val="8"/>
    <w:qFormat/>
    <w:uiPriority w:val="0"/>
    <w:rPr>
      <w:rFonts w:ascii="Arial" w:hAnsi="Arial" w:eastAsia="黑体" w:cs="Times New Roman"/>
      <w:b/>
      <w:sz w:val="24"/>
      <w:szCs w:val="20"/>
    </w:rPr>
  </w:style>
  <w:style w:type="character" w:customStyle="1" w:styleId="75">
    <w:name w:val="标题 7 Char"/>
    <w:basedOn w:val="61"/>
    <w:link w:val="9"/>
    <w:qFormat/>
    <w:uiPriority w:val="0"/>
    <w:rPr>
      <w:rFonts w:ascii="Arial" w:hAnsi="Arial" w:eastAsia="黑体" w:cs="Times New Roman"/>
      <w:b/>
      <w:sz w:val="24"/>
      <w:szCs w:val="20"/>
    </w:rPr>
  </w:style>
  <w:style w:type="character" w:customStyle="1" w:styleId="76">
    <w:name w:val="标题 8 Char"/>
    <w:basedOn w:val="61"/>
    <w:link w:val="10"/>
    <w:qFormat/>
    <w:uiPriority w:val="0"/>
    <w:rPr>
      <w:rFonts w:ascii="Arial" w:hAnsi="Arial" w:eastAsia="黑体" w:cs="Times New Roman"/>
      <w:b/>
      <w:sz w:val="24"/>
      <w:szCs w:val="20"/>
    </w:rPr>
  </w:style>
  <w:style w:type="character" w:customStyle="1" w:styleId="77">
    <w:name w:val="标题 9 Char"/>
    <w:basedOn w:val="61"/>
    <w:link w:val="11"/>
    <w:qFormat/>
    <w:uiPriority w:val="0"/>
    <w:rPr>
      <w:rFonts w:ascii="Arial" w:hAnsi="Arial" w:eastAsia="黑体" w:cs="Times New Roman"/>
      <w:b/>
      <w:sz w:val="24"/>
      <w:szCs w:val="20"/>
    </w:rPr>
  </w:style>
  <w:style w:type="character" w:customStyle="1" w:styleId="78">
    <w:name w:val="正文文本缩进 2 Char"/>
    <w:link w:val="34"/>
    <w:qFormat/>
    <w:uiPriority w:val="0"/>
    <w:rPr>
      <w:sz w:val="28"/>
    </w:rPr>
  </w:style>
  <w:style w:type="character" w:customStyle="1" w:styleId="79">
    <w:name w:val="脚注文本 Char"/>
    <w:link w:val="41"/>
    <w:qFormat/>
    <w:uiPriority w:val="0"/>
    <w:rPr>
      <w:sz w:val="18"/>
    </w:rPr>
  </w:style>
  <w:style w:type="character" w:customStyle="1" w:styleId="80">
    <w:name w:val="批注主题 Char"/>
    <w:basedOn w:val="81"/>
    <w:link w:val="56"/>
    <w:qFormat/>
    <w:uiPriority w:val="0"/>
    <w:rPr>
      <w:sz w:val="24"/>
    </w:rPr>
  </w:style>
  <w:style w:type="character" w:customStyle="1" w:styleId="81">
    <w:name w:val="批注文字 Char"/>
    <w:qFormat/>
    <w:uiPriority w:val="0"/>
    <w:rPr>
      <w:sz w:val="24"/>
    </w:rPr>
  </w:style>
  <w:style w:type="character" w:customStyle="1" w:styleId="82">
    <w:name w:val="Char Char4"/>
    <w:qFormat/>
    <w:uiPriority w:val="0"/>
    <w:rPr>
      <w:rFonts w:eastAsia="宋体"/>
      <w:b/>
      <w:kern w:val="2"/>
      <w:sz w:val="21"/>
      <w:lang w:val="en-US" w:eastAsia="zh-CN"/>
    </w:rPr>
  </w:style>
  <w:style w:type="character" w:customStyle="1" w:styleId="83">
    <w:name w:val="文字 Char"/>
    <w:link w:val="84"/>
    <w:qFormat/>
    <w:uiPriority w:val="0"/>
    <w:rPr>
      <w:rFonts w:ascii="宋体"/>
      <w:sz w:val="28"/>
    </w:rPr>
  </w:style>
  <w:style w:type="paragraph" w:customStyle="1" w:styleId="84">
    <w:name w:val="文字"/>
    <w:basedOn w:val="1"/>
    <w:link w:val="83"/>
    <w:qFormat/>
    <w:uiPriority w:val="0"/>
    <w:pPr>
      <w:tabs>
        <w:tab w:val="left" w:pos="8520"/>
      </w:tabs>
      <w:spacing w:line="312" w:lineRule="auto"/>
      <w:ind w:right="-210" w:firstLine="556"/>
    </w:pPr>
    <w:rPr>
      <w:rFonts w:ascii="宋体"/>
      <w:sz w:val="28"/>
    </w:rPr>
  </w:style>
  <w:style w:type="character" w:customStyle="1" w:styleId="85">
    <w:name w:val="content-white1"/>
    <w:qFormat/>
    <w:uiPriority w:val="0"/>
    <w:rPr>
      <w:color w:val="auto"/>
      <w:sz w:val="18"/>
      <w:u w:val="none"/>
    </w:rPr>
  </w:style>
  <w:style w:type="character" w:customStyle="1" w:styleId="86">
    <w:name w:val="top-det1"/>
    <w:qFormat/>
    <w:uiPriority w:val="0"/>
    <w:rPr>
      <w:b/>
      <w:color w:val="000000"/>
    </w:rPr>
  </w:style>
  <w:style w:type="character" w:customStyle="1" w:styleId="87">
    <w:name w:val="正文 + 三号 Char"/>
    <w:qFormat/>
    <w:uiPriority w:val="0"/>
    <w:rPr>
      <w:rFonts w:eastAsia="宋体"/>
      <w:kern w:val="2"/>
      <w:sz w:val="21"/>
      <w:lang w:val="en-US" w:eastAsia="zh-CN"/>
    </w:rPr>
  </w:style>
  <w:style w:type="character" w:customStyle="1" w:styleId="88">
    <w:name w:val="Char Char11"/>
    <w:qFormat/>
    <w:uiPriority w:val="0"/>
    <w:rPr>
      <w:rFonts w:ascii="宋体"/>
      <w:kern w:val="2"/>
      <w:sz w:val="28"/>
    </w:rPr>
  </w:style>
  <w:style w:type="character" w:customStyle="1" w:styleId="89">
    <w:name w:val="Char Char6"/>
    <w:qFormat/>
    <w:uiPriority w:val="0"/>
    <w:rPr>
      <w:rFonts w:ascii="仿宋_GB2312" w:eastAsia="仿宋_GB2312"/>
      <w:kern w:val="2"/>
      <w:sz w:val="32"/>
    </w:rPr>
  </w:style>
  <w:style w:type="character" w:customStyle="1" w:styleId="90">
    <w:name w:val="Char Char5"/>
    <w:qFormat/>
    <w:uiPriority w:val="0"/>
    <w:rPr>
      <w:rFonts w:ascii="Arial" w:hAnsi="Arial" w:eastAsia="宋体"/>
      <w:b/>
      <w:smallCaps/>
      <w:kern w:val="28"/>
      <w:sz w:val="36"/>
      <w:lang w:val="en-US" w:eastAsia="en-US"/>
    </w:rPr>
  </w:style>
  <w:style w:type="character" w:customStyle="1" w:styleId="91">
    <w:name w:val="标书正文:  0.74 厘米 Char1"/>
    <w:qFormat/>
    <w:uiPriority w:val="0"/>
    <w:rPr>
      <w:rFonts w:eastAsia="宋体"/>
      <w:kern w:val="2"/>
      <w:sz w:val="24"/>
      <w:lang w:val="en-US" w:eastAsia="zh-CN"/>
    </w:rPr>
  </w:style>
  <w:style w:type="character" w:customStyle="1" w:styleId="92">
    <w:name w:val="纯文本 Char"/>
    <w:link w:val="31"/>
    <w:qFormat/>
    <w:uiPriority w:val="0"/>
    <w:rPr>
      <w:rFonts w:ascii="宋体" w:hAnsi="Courier New"/>
    </w:rPr>
  </w:style>
  <w:style w:type="character" w:customStyle="1" w:styleId="93">
    <w:name w:val="crowed11"/>
    <w:qFormat/>
    <w:uiPriority w:val="0"/>
    <w:rPr>
      <w:rFonts w:hint="default"/>
      <w:sz w:val="24"/>
    </w:rPr>
  </w:style>
  <w:style w:type="character" w:customStyle="1" w:styleId="94">
    <w:name w:val="Table Text Char Char Char Char"/>
    <w:link w:val="95"/>
    <w:qFormat/>
    <w:uiPriority w:val="0"/>
    <w:rPr>
      <w:rFonts w:ascii="Arial" w:hAnsi="Arial"/>
      <w:sz w:val="18"/>
    </w:rPr>
  </w:style>
  <w:style w:type="paragraph" w:customStyle="1" w:styleId="95">
    <w:name w:val="Table Text Char Char Char"/>
    <w:link w:val="94"/>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qFormat/>
    <w:uiPriority w:val="0"/>
    <w:rPr>
      <w:rFonts w:ascii="宋体" w:hAnsi="宋体" w:eastAsia="宋体"/>
      <w:kern w:val="2"/>
      <w:sz w:val="28"/>
    </w:rPr>
  </w:style>
  <w:style w:type="character" w:customStyle="1" w:styleId="97">
    <w:name w:val="未命名11"/>
    <w:qFormat/>
    <w:uiPriority w:val="0"/>
    <w:rPr>
      <w:color w:val="77FFFF"/>
      <w:sz w:val="24"/>
    </w:rPr>
  </w:style>
  <w:style w:type="character" w:customStyle="1" w:styleId="98">
    <w:name w:val="小 Char"/>
    <w:qFormat/>
    <w:uiPriority w:val="0"/>
    <w:rPr>
      <w:rFonts w:ascii="宋体" w:hAnsi="Courier New" w:eastAsia="宋体"/>
      <w:kern w:val="2"/>
      <w:sz w:val="21"/>
      <w:lang w:val="en-US" w:eastAsia="zh-CN" w:bidi="ar-SA"/>
    </w:rPr>
  </w:style>
  <w:style w:type="character" w:customStyle="1" w:styleId="99">
    <w:name w:val="Char Char3"/>
    <w:qFormat/>
    <w:uiPriority w:val="0"/>
    <w:rPr>
      <w:rFonts w:eastAsia="宋体"/>
      <w:kern w:val="2"/>
      <w:sz w:val="18"/>
      <w:lang w:val="en-US" w:eastAsia="zh-CN"/>
    </w:rPr>
  </w:style>
  <w:style w:type="character" w:customStyle="1" w:styleId="100">
    <w:name w:val="title_emph1"/>
    <w:qFormat/>
    <w:uiPriority w:val="0"/>
    <w:rPr>
      <w:rFonts w:hint="default" w:ascii="Arial" w:hAnsi="Arial"/>
      <w:b/>
      <w:sz w:val="20"/>
    </w:rPr>
  </w:style>
  <w:style w:type="character" w:customStyle="1" w:styleId="101">
    <w:name w:val="Table Text Char"/>
    <w:link w:val="102"/>
    <w:qFormat/>
    <w:uiPriority w:val="0"/>
    <w:rPr>
      <w:rFonts w:ascii="Arial" w:hAnsi="Arial"/>
      <w:sz w:val="18"/>
    </w:rPr>
  </w:style>
  <w:style w:type="paragraph" w:customStyle="1" w:styleId="102">
    <w:name w:val="Table Text"/>
    <w:link w:val="101"/>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qFormat/>
    <w:uiPriority w:val="0"/>
    <w:rPr>
      <w:rFonts w:ascii="宋体" w:hAnsi="宋体" w:eastAsia="宋体"/>
      <w:sz w:val="28"/>
    </w:rPr>
  </w:style>
  <w:style w:type="character" w:customStyle="1" w:styleId="104">
    <w:name w:val="正文首行缩进 2 Char"/>
    <w:basedOn w:val="105"/>
    <w:link w:val="58"/>
    <w:qFormat/>
    <w:uiPriority w:val="0"/>
    <w:rPr>
      <w:sz w:val="44"/>
    </w:rPr>
  </w:style>
  <w:style w:type="character" w:customStyle="1" w:styleId="105">
    <w:name w:val="正文文本缩进 Char"/>
    <w:link w:val="24"/>
    <w:qFormat/>
    <w:uiPriority w:val="0"/>
    <w:rPr>
      <w:sz w:val="44"/>
    </w:rPr>
  </w:style>
  <w:style w:type="character" w:customStyle="1" w:styleId="106">
    <w:name w:val="页脚 Char"/>
    <w:link w:val="36"/>
    <w:qFormat/>
    <w:uiPriority w:val="99"/>
    <w:rPr>
      <w:sz w:val="18"/>
    </w:rPr>
  </w:style>
  <w:style w:type="character" w:customStyle="1" w:styleId="107">
    <w:name w:val="Table Heading Char Char"/>
    <w:qFormat/>
    <w:uiPriority w:val="0"/>
    <w:rPr>
      <w:rFonts w:ascii="Arial" w:hAnsi="Arial" w:eastAsia="黑体"/>
      <w:kern w:val="2"/>
      <w:sz w:val="18"/>
      <w:lang w:val="en-US" w:eastAsia="zh-CN"/>
    </w:rPr>
  </w:style>
  <w:style w:type="character" w:customStyle="1" w:styleId="108">
    <w:name w:val="日期 Char"/>
    <w:link w:val="33"/>
    <w:qFormat/>
    <w:uiPriority w:val="0"/>
    <w:rPr>
      <w:sz w:val="28"/>
    </w:rPr>
  </w:style>
  <w:style w:type="character" w:customStyle="1" w:styleId="109">
    <w:name w:val="font1"/>
    <w:qFormat/>
    <w:uiPriority w:val="0"/>
    <w:rPr>
      <w:color w:val="000000"/>
      <w:sz w:val="18"/>
    </w:rPr>
  </w:style>
  <w:style w:type="character" w:customStyle="1" w:styleId="110">
    <w:name w:val="Char Char2"/>
    <w:qFormat/>
    <w:uiPriority w:val="0"/>
    <w:rPr>
      <w:rFonts w:eastAsia="宋体"/>
      <w:kern w:val="2"/>
      <w:sz w:val="18"/>
      <w:lang w:val="en-US" w:eastAsia="zh-CN"/>
    </w:rPr>
  </w:style>
  <w:style w:type="character" w:customStyle="1" w:styleId="111">
    <w:name w:val="H2 Char"/>
    <w:qFormat/>
    <w:uiPriority w:val="0"/>
    <w:rPr>
      <w:rFonts w:ascii="Arial" w:hAnsi="Arial" w:eastAsia="宋体"/>
      <w:kern w:val="2"/>
      <w:sz w:val="28"/>
      <w:lang w:val="en-US" w:eastAsia="zh-CN"/>
    </w:rPr>
  </w:style>
  <w:style w:type="character" w:customStyle="1" w:styleId="112">
    <w:name w:val="v151"/>
    <w:qFormat/>
    <w:uiPriority w:val="0"/>
    <w:rPr>
      <w:sz w:val="18"/>
    </w:rPr>
  </w:style>
  <w:style w:type="character" w:customStyle="1" w:styleId="113">
    <w:name w:val="Table Text Char1 Char"/>
    <w:qFormat/>
    <w:uiPriority w:val="0"/>
    <w:rPr>
      <w:rFonts w:ascii="Arial" w:hAnsi="Arial"/>
      <w:kern w:val="2"/>
      <w:sz w:val="18"/>
      <w:lang w:val="en-US" w:eastAsia="zh-CN" w:bidi="ar-SA"/>
    </w:rPr>
  </w:style>
  <w:style w:type="character" w:customStyle="1" w:styleId="114">
    <w:name w:val="HTML 预设格式 Char"/>
    <w:link w:val="51"/>
    <w:qFormat/>
    <w:uiPriority w:val="0"/>
    <w:rPr>
      <w:rFonts w:ascii="宋体" w:hAnsi="宋体" w:cs="宋体"/>
      <w:sz w:val="24"/>
      <w:szCs w:val="24"/>
    </w:rPr>
  </w:style>
  <w:style w:type="character" w:customStyle="1" w:styleId="115">
    <w:name w:val="Char Char"/>
    <w:qFormat/>
    <w:uiPriority w:val="0"/>
    <w:rPr>
      <w:rFonts w:ascii="宋体" w:hAnsi="宋体" w:eastAsia="宋体"/>
      <w:kern w:val="2"/>
      <w:sz w:val="24"/>
      <w:lang w:val="en-US" w:eastAsia="zh-CN" w:bidi="ar-SA"/>
    </w:rPr>
  </w:style>
  <w:style w:type="character" w:customStyle="1" w:styleId="116">
    <w:name w:val="脚注文本 Char1"/>
    <w:basedOn w:val="61"/>
    <w:semiHidden/>
    <w:qFormat/>
    <w:uiPriority w:val="99"/>
    <w:rPr>
      <w:sz w:val="18"/>
      <w:szCs w:val="18"/>
    </w:rPr>
  </w:style>
  <w:style w:type="character" w:customStyle="1" w:styleId="117">
    <w:name w:val="页眉 Char"/>
    <w:basedOn w:val="61"/>
    <w:link w:val="37"/>
    <w:qFormat/>
    <w:uiPriority w:val="0"/>
    <w:rPr>
      <w:rFonts w:ascii="Times New Roman" w:hAnsi="Times New Roman" w:eastAsia="宋体" w:cs="Times New Roman"/>
      <w:sz w:val="18"/>
      <w:szCs w:val="20"/>
    </w:rPr>
  </w:style>
  <w:style w:type="character" w:customStyle="1" w:styleId="118">
    <w:name w:val="正文文本缩进 Char1"/>
    <w:basedOn w:val="61"/>
    <w:semiHidden/>
    <w:qFormat/>
    <w:uiPriority w:val="99"/>
  </w:style>
  <w:style w:type="character" w:customStyle="1" w:styleId="119">
    <w:name w:val="文档结构图 Char"/>
    <w:basedOn w:val="61"/>
    <w:link w:val="18"/>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semiHidden/>
    <w:qFormat/>
    <w:uiPriority w:val="99"/>
    <w:rPr>
      <w:sz w:val="18"/>
      <w:szCs w:val="18"/>
    </w:rPr>
  </w:style>
  <w:style w:type="character" w:customStyle="1" w:styleId="121">
    <w:name w:val="正文文本缩进 3 Char"/>
    <w:basedOn w:val="61"/>
    <w:link w:val="44"/>
    <w:qFormat/>
    <w:uiPriority w:val="0"/>
    <w:rPr>
      <w:rFonts w:ascii="黑体" w:hAnsi="Times New Roman" w:eastAsia="黑体" w:cs="Times New Roman"/>
      <w:sz w:val="28"/>
      <w:szCs w:val="20"/>
    </w:rPr>
  </w:style>
  <w:style w:type="character" w:customStyle="1" w:styleId="122">
    <w:name w:val="正文文本 3 Char"/>
    <w:basedOn w:val="61"/>
    <w:link w:val="21"/>
    <w:qFormat/>
    <w:uiPriority w:val="0"/>
    <w:rPr>
      <w:rFonts w:ascii="Times New Roman" w:hAnsi="Times New Roman" w:eastAsia="宋体" w:cs="Times New Roman"/>
      <w:sz w:val="16"/>
      <w:szCs w:val="20"/>
    </w:rPr>
  </w:style>
  <w:style w:type="character" w:customStyle="1" w:styleId="123">
    <w:name w:val="正文文本 2 Char"/>
    <w:basedOn w:val="61"/>
    <w:link w:val="48"/>
    <w:qFormat/>
    <w:uiPriority w:val="0"/>
    <w:rPr>
      <w:rFonts w:ascii="Times New Roman" w:hAnsi="Times New Roman" w:eastAsia="宋体" w:cs="Times New Roman"/>
      <w:sz w:val="24"/>
      <w:szCs w:val="20"/>
    </w:rPr>
  </w:style>
  <w:style w:type="character" w:customStyle="1" w:styleId="124">
    <w:name w:val="正文文本 Char"/>
    <w:basedOn w:val="61"/>
    <w:link w:val="23"/>
    <w:qFormat/>
    <w:uiPriority w:val="0"/>
    <w:rPr>
      <w:rFonts w:ascii="仿宋_GB2312" w:hAnsi="Times New Roman" w:eastAsia="仿宋_GB2312" w:cs="Times New Roman"/>
      <w:sz w:val="32"/>
      <w:szCs w:val="20"/>
    </w:rPr>
  </w:style>
  <w:style w:type="character" w:customStyle="1" w:styleId="125">
    <w:name w:val="正文文本缩进 2 Char1"/>
    <w:basedOn w:val="61"/>
    <w:semiHidden/>
    <w:qFormat/>
    <w:uiPriority w:val="99"/>
  </w:style>
  <w:style w:type="character" w:customStyle="1" w:styleId="126">
    <w:name w:val="正文首行缩进 2 Char1"/>
    <w:basedOn w:val="118"/>
    <w:semiHidden/>
    <w:qFormat/>
    <w:uiPriority w:val="99"/>
  </w:style>
  <w:style w:type="character" w:customStyle="1" w:styleId="127">
    <w:name w:val="标题 Char"/>
    <w:basedOn w:val="61"/>
    <w:link w:val="55"/>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semiHidden/>
    <w:qFormat/>
    <w:uiPriority w:val="99"/>
    <w:rPr>
      <w:rFonts w:ascii="Courier New" w:hAnsi="Courier New" w:cs="Courier New"/>
      <w:sz w:val="20"/>
      <w:szCs w:val="20"/>
    </w:rPr>
  </w:style>
  <w:style w:type="character" w:customStyle="1" w:styleId="129">
    <w:name w:val="日期 Char1"/>
    <w:basedOn w:val="61"/>
    <w:semiHidden/>
    <w:qFormat/>
    <w:uiPriority w:val="99"/>
  </w:style>
  <w:style w:type="character" w:customStyle="1" w:styleId="130">
    <w:name w:val="纯文本 Char1"/>
    <w:basedOn w:val="61"/>
    <w:semiHidden/>
    <w:qFormat/>
    <w:uiPriority w:val="99"/>
    <w:rPr>
      <w:rFonts w:ascii="宋体" w:hAnsi="Courier New" w:eastAsia="宋体" w:cs="Courier New"/>
      <w:szCs w:val="21"/>
    </w:rPr>
  </w:style>
  <w:style w:type="character" w:customStyle="1" w:styleId="131">
    <w:name w:val="批注文字 Char1"/>
    <w:basedOn w:val="61"/>
    <w:link w:val="20"/>
    <w:semiHidden/>
    <w:qFormat/>
    <w:uiPriority w:val="99"/>
  </w:style>
  <w:style w:type="character" w:customStyle="1" w:styleId="132">
    <w:name w:val="批注主题 Char1"/>
    <w:basedOn w:val="131"/>
    <w:semiHidden/>
    <w:qFormat/>
    <w:uiPriority w:val="99"/>
    <w:rPr>
      <w:b/>
      <w:bCs/>
    </w:rPr>
  </w:style>
  <w:style w:type="character" w:customStyle="1" w:styleId="133">
    <w:name w:val="批注框文本 Char"/>
    <w:basedOn w:val="61"/>
    <w:link w:val="35"/>
    <w:qFormat/>
    <w:uiPriority w:val="0"/>
    <w:rPr>
      <w:rFonts w:ascii="Times New Roman" w:hAnsi="Times New Roman" w:eastAsia="宋体" w:cs="Times New Roman"/>
      <w:sz w:val="18"/>
      <w:szCs w:val="20"/>
    </w:rPr>
  </w:style>
  <w:style w:type="character" w:customStyle="1" w:styleId="134">
    <w:name w:val="正文首行缩进 Char"/>
    <w:basedOn w:val="124"/>
    <w:link w:val="57"/>
    <w:qFormat/>
    <w:uiPriority w:val="0"/>
    <w:rPr>
      <w:rFonts w:ascii="宋体" w:hAnsi="宋体" w:eastAsia="宋体" w:cs="Times New Roman"/>
      <w:sz w:val="24"/>
      <w:szCs w:val="20"/>
    </w:rPr>
  </w:style>
  <w:style w:type="paragraph" w:customStyle="1" w:styleId="135">
    <w:name w:val="正文 + 三号"/>
    <w:basedOn w:val="1"/>
    <w:qFormat/>
    <w:uiPriority w:val="0"/>
    <w:rPr>
      <w:rFonts w:ascii="Times New Roman" w:hAnsi="Times New Roman" w:eastAsia="宋体" w:cs="Times New Roman"/>
      <w:szCs w:val="20"/>
    </w:rPr>
  </w:style>
  <w:style w:type="paragraph" w:customStyle="1" w:styleId="136">
    <w:name w:val="CSS1级正文 Char"/>
    <w:basedOn w:val="23"/>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qFormat/>
    <w:uiPriority w:val="0"/>
    <w:pPr>
      <w:tabs>
        <w:tab w:val="left" w:pos="2120"/>
      </w:tabs>
      <w:ind w:firstLine="0" w:firstLineChars="0"/>
    </w:pPr>
    <w:rPr>
      <w:b/>
    </w:rPr>
  </w:style>
  <w:style w:type="paragraph" w:customStyle="1" w:styleId="139">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qFormat/>
    <w:uiPriority w:val="0"/>
    <w:rPr>
      <w:rFonts w:ascii="Times New Roman" w:hAnsi="Times New Roman" w:eastAsia="宋体" w:cs="Times New Roman"/>
      <w:szCs w:val="20"/>
    </w:rPr>
  </w:style>
  <w:style w:type="paragraph" w:customStyle="1" w:styleId="141">
    <w:name w:val="标题无"/>
    <w:basedOn w:val="1"/>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50">
    <w:name w:val="Revision"/>
    <w:qFormat/>
    <w:uiPriority w:val="0"/>
    <w:rPr>
      <w:rFonts w:ascii="Times New Roman" w:hAnsi="Times New Roman" w:eastAsia="宋体" w:cs="Times New Roman"/>
      <w:kern w:val="2"/>
      <w:sz w:val="21"/>
      <w:szCs w:val="20"/>
      <w:lang w:val="en-US" w:eastAsia="zh-CN" w:bidi="ar-SA"/>
    </w:rPr>
  </w:style>
  <w:style w:type="paragraph" w:customStyle="1" w:styleId="151">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qFormat/>
    <w:uiPriority w:val="0"/>
    <w:rPr>
      <w:rFonts w:ascii="Tahoma" w:hAnsi="Tahoma" w:eastAsia="宋体" w:cs="Times New Roman"/>
      <w:sz w:val="24"/>
      <w:szCs w:val="20"/>
    </w:rPr>
  </w:style>
  <w:style w:type="paragraph" w:customStyle="1" w:styleId="156">
    <w:name w:val="表格内文字"/>
    <w:basedOn w:val="31"/>
    <w:qFormat/>
    <w:uiPriority w:val="0"/>
    <w:pPr>
      <w:adjustRightInd w:val="0"/>
    </w:pPr>
    <w:rPr>
      <w:color w:val="000000"/>
      <w:lang w:val="en-GB"/>
    </w:rPr>
  </w:style>
  <w:style w:type="paragraph" w:customStyle="1" w:styleId="157">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6"/>
    <w:qFormat/>
    <w:uiPriority w:val="0"/>
    <w:pPr>
      <w:tabs>
        <w:tab w:val="left" w:pos="720"/>
      </w:tabs>
      <w:spacing w:before="500" w:after="260" w:line="560" w:lineRule="atLeast"/>
      <w:ind w:left="420" w:hanging="420"/>
    </w:pPr>
  </w:style>
  <w:style w:type="paragraph" w:customStyle="1" w:styleId="164">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qFormat/>
    <w:uiPriority w:val="0"/>
    <w:pPr>
      <w:numPr>
        <w:ilvl w:val="2"/>
        <w:numId w:val="5"/>
      </w:numPr>
      <w:tabs>
        <w:tab w:val="left" w:pos="709"/>
        <w:tab w:val="left" w:pos="1620"/>
      </w:tabs>
    </w:pPr>
  </w:style>
  <w:style w:type="paragraph" w:customStyle="1" w:styleId="173">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80">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qFormat/>
    <w:uiPriority w:val="0"/>
    <w:rPr>
      <w:rFonts w:ascii="Tahoma" w:hAnsi="Tahoma" w:eastAsia="宋体" w:cs="Times New Roman"/>
      <w:sz w:val="24"/>
      <w:szCs w:val="20"/>
    </w:rPr>
  </w:style>
  <w:style w:type="paragraph" w:customStyle="1" w:styleId="184">
    <w:name w:val="编号正文"/>
    <w:basedOn w:val="185"/>
    <w:qFormat/>
    <w:uiPriority w:val="0"/>
    <w:pPr>
      <w:snapToGrid/>
      <w:spacing w:line="360" w:lineRule="auto"/>
      <w:ind w:left="1407" w:hanging="1047"/>
      <w:jc w:val="left"/>
    </w:pPr>
    <w:rPr>
      <w:rFonts w:eastAsia="仿宋_GB2312"/>
    </w:rPr>
  </w:style>
  <w:style w:type="paragraph" w:customStyle="1" w:styleId="185">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qFormat/>
    <w:uiPriority w:val="0"/>
    <w:rPr>
      <w:rFonts w:ascii="仿宋_GB2312" w:hAnsi="Times New Roman" w:eastAsia="宋体" w:cs="Times New Roman"/>
      <w:b/>
      <w:sz w:val="30"/>
      <w:szCs w:val="20"/>
    </w:rPr>
  </w:style>
  <w:style w:type="paragraph" w:customStyle="1" w:styleId="188">
    <w:name w:val="Table Contents"/>
    <w:basedOn w:val="23"/>
    <w:qFormat/>
    <w:uiPriority w:val="0"/>
    <w:pPr>
      <w:suppressAutoHyphens/>
      <w:jc w:val="left"/>
    </w:pPr>
    <w:rPr>
      <w:rFonts w:ascii="Times New Roman" w:eastAsia="Times New Roman"/>
      <w:kern w:val="0"/>
      <w:sz w:val="24"/>
    </w:rPr>
  </w:style>
  <w:style w:type="paragraph" w:customStyle="1" w:styleId="189">
    <w:name w:val="Char Char Char"/>
    <w:basedOn w:val="1"/>
    <w:qFormat/>
    <w:uiPriority w:val="0"/>
    <w:rPr>
      <w:rFonts w:ascii="Tahoma" w:hAnsi="Tahoma" w:eastAsia="宋体" w:cs="Times New Roman"/>
      <w:sz w:val="24"/>
      <w:szCs w:val="20"/>
    </w:rPr>
  </w:style>
  <w:style w:type="paragraph" w:customStyle="1" w:styleId="190">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3"/>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qFormat/>
    <w:uiPriority w:val="0"/>
    <w:pPr>
      <w:spacing w:before="720"/>
    </w:pPr>
  </w:style>
  <w:style w:type="paragraph" w:customStyle="1" w:styleId="193">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5">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qFormat/>
    <w:uiPriority w:val="0"/>
    <w:pPr>
      <w:ind w:left="840"/>
      <w:outlineLvl w:val="3"/>
    </w:pPr>
  </w:style>
  <w:style w:type="paragraph" w:customStyle="1" w:styleId="204">
    <w:name w:val="一级条标题"/>
    <w:basedOn w:val="205"/>
    <w:next w:val="151"/>
    <w:qFormat/>
    <w:uiPriority w:val="0"/>
    <w:pPr>
      <w:numPr>
        <w:numId w:val="0"/>
      </w:numPr>
      <w:spacing w:before="0" w:beforeLines="0" w:after="0" w:afterLines="0"/>
      <w:ind w:left="525"/>
      <w:outlineLvl w:val="2"/>
    </w:pPr>
    <w:rPr>
      <w:sz w:val="21"/>
    </w:rPr>
  </w:style>
  <w:style w:type="paragraph" w:customStyle="1" w:styleId="205">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qFormat/>
    <w:uiPriority w:val="0"/>
    <w:rPr>
      <w:rFonts w:ascii="宋体" w:hAnsi="Courier New" w:eastAsia="宋体" w:cs="Times New Roman"/>
      <w:szCs w:val="20"/>
    </w:rPr>
  </w:style>
  <w:style w:type="paragraph" w:customStyle="1" w:styleId="210">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qFormat/>
    <w:uiPriority w:val="0"/>
    <w:rPr>
      <w:rFonts w:ascii="Tahoma" w:hAnsi="Tahoma" w:eastAsia="宋体" w:cs="Times New Roman"/>
      <w:sz w:val="24"/>
      <w:szCs w:val="20"/>
    </w:rPr>
  </w:style>
  <w:style w:type="paragraph" w:customStyle="1" w:styleId="218">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8"/>
    <w:qFormat/>
    <w:uiPriority w:val="0"/>
    <w:pPr>
      <w:widowControl/>
      <w:adjustRightInd/>
      <w:snapToGrid/>
      <w:spacing w:before="156" w:beforeLines="50"/>
      <w:jc w:val="left"/>
    </w:pPr>
    <w:rPr>
      <w:snapToGrid w:val="0"/>
      <w:kern w:val="24"/>
      <w:sz w:val="28"/>
    </w:rPr>
  </w:style>
  <w:style w:type="paragraph" w:customStyle="1" w:styleId="222">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6"/>
    <w:qFormat/>
    <w:uiPriority w:val="0"/>
    <w:pPr>
      <w:numPr>
        <w:ilvl w:val="0"/>
        <w:numId w:val="10"/>
      </w:numPr>
      <w:spacing w:before="560" w:line="400" w:lineRule="exact"/>
      <w:jc w:val="center"/>
      <w:outlineLvl w:val="0"/>
    </w:pPr>
    <w:rPr>
      <w:b w:val="0"/>
      <w:sz w:val="44"/>
    </w:rPr>
  </w:style>
  <w:style w:type="paragraph" w:customStyle="1" w:styleId="224">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8"/>
    <w:qFormat/>
    <w:uiPriority w:val="0"/>
    <w:rPr>
      <w:rFonts w:ascii="Tahoma" w:hAnsi="Tahoma"/>
      <w:sz w:val="24"/>
    </w:rPr>
  </w:style>
  <w:style w:type="paragraph" w:customStyle="1" w:styleId="226">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qFormat/>
    <w:uiPriority w:val="0"/>
    <w:rPr>
      <w:rFonts w:ascii="Tahoma" w:hAnsi="Tahoma" w:eastAsia="宋体" w:cs="Times New Roman"/>
      <w:sz w:val="24"/>
      <w:szCs w:val="24"/>
    </w:rPr>
  </w:style>
  <w:style w:type="paragraph" w:customStyle="1" w:styleId="229">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qFormat/>
    <w:uiPriority w:val="0"/>
    <w:rPr>
      <w:rFonts w:ascii="Tahoma" w:hAnsi="Tahoma" w:eastAsia="宋体" w:cs="Times New Roman"/>
      <w:sz w:val="30"/>
      <w:szCs w:val="20"/>
    </w:rPr>
  </w:style>
  <w:style w:type="paragraph" w:customStyle="1" w:styleId="235">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6"/>
    <w:qFormat/>
    <w:uiPriority w:val="0"/>
    <w:pPr>
      <w:ind w:firstLine="480" w:firstLineChars="200"/>
    </w:pPr>
  </w:style>
  <w:style w:type="paragraph" w:customStyle="1" w:styleId="238">
    <w:name w:val="可研正文"/>
    <w:basedOn w:val="23"/>
    <w:qFormat/>
    <w:uiPriority w:val="0"/>
    <w:pPr>
      <w:adjustRightInd w:val="0"/>
      <w:snapToGrid w:val="0"/>
      <w:spacing w:line="440" w:lineRule="exact"/>
      <w:ind w:firstLine="567"/>
    </w:pPr>
    <w:rPr>
      <w:sz w:val="28"/>
    </w:rPr>
  </w:style>
  <w:style w:type="paragraph" w:customStyle="1" w:styleId="239">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qFormat/>
    <w:uiPriority w:val="0"/>
    <w:pPr>
      <w:spacing w:before="240" w:after="720"/>
    </w:pPr>
    <w:rPr>
      <w:sz w:val="28"/>
    </w:rPr>
  </w:style>
  <w:style w:type="paragraph" w:customStyle="1" w:styleId="241">
    <w:name w:val="标题3——2"/>
    <w:basedOn w:val="5"/>
    <w:next w:val="57"/>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6"/>
    <w:qFormat/>
    <w:uiPriority w:val="0"/>
    <w:pPr>
      <w:adjustRightInd w:val="0"/>
      <w:snapToGrid w:val="0"/>
    </w:pPr>
  </w:style>
  <w:style w:type="paragraph" w:customStyle="1" w:styleId="243">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qFormat/>
    <w:uiPriority w:val="0"/>
    <w:rPr>
      <w:rFonts w:ascii="Times New Roman" w:hAnsi="Times New Roman" w:eastAsia="宋体" w:cs="Times New Roman"/>
      <w:szCs w:val="24"/>
    </w:rPr>
  </w:style>
  <w:style w:type="paragraph" w:customStyle="1" w:styleId="246">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8"/>
    <w:qFormat/>
    <w:uiPriority w:val="0"/>
    <w:rPr>
      <w:rFonts w:ascii="宋体" w:hAnsi="Tahoma"/>
    </w:rPr>
  </w:style>
  <w:style w:type="paragraph" w:customStyle="1" w:styleId="263">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WPSOffice手动目录 1"/>
    <w:qFormat/>
    <w:uiPriority w:val="0"/>
    <w:pPr>
      <w:ind w:leftChars="0"/>
    </w:pPr>
    <w:rPr>
      <w:rFonts w:asciiTheme="minorHAnsi" w:hAnsiTheme="minorHAnsi" w:eastAsiaTheme="minorEastAsia" w:cstheme="minorBidi"/>
      <w:sz w:val="20"/>
      <w:szCs w:val="20"/>
    </w:rPr>
  </w:style>
  <w:style w:type="paragraph" w:customStyle="1" w:styleId="269">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40</Pages>
  <Words>15631</Words>
  <Characters>16019</Characters>
  <Lines>182</Lines>
  <Paragraphs>51</Paragraphs>
  <TotalTime>1</TotalTime>
  <ScaleCrop>false</ScaleCrop>
  <LinksUpToDate>false</LinksUpToDate>
  <CharactersWithSpaces>17162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2022-03-22T09:10:00Z</dcterms:created>
  <dc:creator>2y</dc:creator>
  <cp:lastModifiedBy>hold 初心</cp:lastModifiedBy>
  <cp:lastPrinted>2022-04-27T00:38:00Z</cp:lastPrinted>
  <dcterms:modified xsi:type="dcterms:W3CDTF">2022-08-18T08:26:24Z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D90EFDEDCD294DEAB041A069E42458C9</vt:lpwstr>
  </property>
</Properties>
</file>