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880" w:firstLineChars="200"/>
        <w:jc w:val="center"/>
        <w:outlineLvl w:val="0"/>
        <w:rPr>
          <w:rFonts w:hint="eastAsia" w:ascii="微软雅黑" w:hAnsi="微软雅黑" w:eastAsia="微软雅黑" w:cs="微软雅黑"/>
          <w:color w:val="000000" w:themeColor="text1"/>
          <w:sz w:val="44"/>
          <w:szCs w:val="44"/>
          <w14:textFill>
            <w14:solidFill>
              <w14:schemeClr w14:val="tx1"/>
            </w14:solidFill>
          </w14:textFill>
        </w:rPr>
      </w:pPr>
      <w:r>
        <w:rPr>
          <w:rFonts w:hint="eastAsia" w:ascii="微软雅黑" w:hAnsi="微软雅黑" w:eastAsia="微软雅黑" w:cs="微软雅黑"/>
          <w:color w:val="000000" w:themeColor="text1"/>
          <w:sz w:val="44"/>
          <w:szCs w:val="44"/>
          <w14:textFill>
            <w14:solidFill>
              <w14:schemeClr w14:val="tx1"/>
            </w14:solidFill>
          </w14:textFill>
        </w:rPr>
        <w:t>重庆医科大学附属永川医院</w:t>
      </w:r>
    </w:p>
    <w:p>
      <w:pPr>
        <w:pageBreakBefore w:val="0"/>
        <w:kinsoku/>
        <w:wordWrap/>
        <w:overflowPunct/>
        <w:topLinePunct w:val="0"/>
        <w:bidi w:val="0"/>
        <w:spacing w:line="240" w:lineRule="auto"/>
        <w:ind w:firstLine="880" w:firstLineChars="200"/>
        <w:jc w:val="center"/>
        <w:outlineLvl w:val="0"/>
        <w:rPr>
          <w:rFonts w:hint="eastAsia" w:ascii="微软雅黑" w:hAnsi="微软雅黑" w:eastAsia="微软雅黑" w:cs="微软雅黑"/>
          <w:color w:val="000000" w:themeColor="text1"/>
          <w:sz w:val="44"/>
          <w:szCs w:val="44"/>
          <w14:textFill>
            <w14:solidFill>
              <w14:schemeClr w14:val="tx1"/>
            </w14:solidFill>
          </w14:textFill>
        </w:rPr>
      </w:pPr>
    </w:p>
    <w:p>
      <w:pPr>
        <w:pageBreakBefore w:val="0"/>
        <w:kinsoku/>
        <w:wordWrap/>
        <w:overflowPunct/>
        <w:topLinePunct w:val="0"/>
        <w:bidi w:val="0"/>
        <w:spacing w:line="240" w:lineRule="auto"/>
        <w:ind w:firstLine="1200" w:firstLineChars="200"/>
        <w:jc w:val="center"/>
        <w:outlineLvl w:val="0"/>
        <w:rPr>
          <w:rFonts w:hint="eastAsia" w:ascii="微软雅黑" w:hAnsi="微软雅黑" w:eastAsia="微软雅黑" w:cs="微软雅黑"/>
          <w:color w:val="000000" w:themeColor="text1"/>
          <w:spacing w:val="80"/>
          <w:sz w:val="44"/>
          <w:szCs w:val="44"/>
          <w14:textFill>
            <w14:solidFill>
              <w14:schemeClr w14:val="tx1"/>
            </w14:solidFill>
          </w14:textFill>
        </w:rPr>
      </w:pPr>
    </w:p>
    <w:p>
      <w:pPr>
        <w:pageBreakBefore w:val="0"/>
        <w:kinsoku/>
        <w:wordWrap/>
        <w:overflowPunct/>
        <w:topLinePunct w:val="0"/>
        <w:bidi w:val="0"/>
        <w:spacing w:line="240" w:lineRule="auto"/>
        <w:ind w:firstLine="1200" w:firstLineChars="200"/>
        <w:jc w:val="center"/>
        <w:outlineLvl w:val="0"/>
        <w:rPr>
          <w:rFonts w:hint="eastAsia" w:ascii="微软雅黑" w:hAnsi="微软雅黑" w:eastAsia="微软雅黑" w:cs="微软雅黑"/>
          <w:color w:val="000000" w:themeColor="text1"/>
          <w:spacing w:val="80"/>
          <w:sz w:val="44"/>
          <w:szCs w:val="44"/>
          <w14:textFill>
            <w14:solidFill>
              <w14:schemeClr w14:val="tx1"/>
            </w14:solidFill>
          </w14:textFill>
        </w:rPr>
      </w:pPr>
      <w:r>
        <w:rPr>
          <w:rFonts w:hint="eastAsia" w:ascii="微软雅黑" w:hAnsi="微软雅黑" w:eastAsia="微软雅黑" w:cs="微软雅黑"/>
          <w:color w:val="000000" w:themeColor="text1"/>
          <w:spacing w:val="80"/>
          <w:sz w:val="44"/>
          <w:szCs w:val="44"/>
          <w14:textFill>
            <w14:solidFill>
              <w14:schemeClr w14:val="tx1"/>
            </w14:solidFill>
          </w14:textFill>
        </w:rPr>
        <w:t>比选文件</w:t>
      </w:r>
    </w:p>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p>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p>
    <w:p>
      <w:pPr>
        <w:pageBreakBefore w:val="0"/>
        <w:kinsoku/>
        <w:wordWrap/>
        <w:overflowPunct/>
        <w:topLinePunct w:val="0"/>
        <w:bidi w:val="0"/>
        <w:spacing w:line="240" w:lineRule="auto"/>
        <w:ind w:firstLine="720" w:firstLineChars="200"/>
        <w:rPr>
          <w:rFonts w:hint="eastAsia" w:ascii="微软雅黑" w:hAnsi="微软雅黑" w:eastAsia="微软雅黑" w:cs="微软雅黑"/>
          <w:b w:val="0"/>
          <w:bCs w:val="0"/>
          <w:color w:val="000000" w:themeColor="text1"/>
          <w:sz w:val="36"/>
          <w:szCs w:val="36"/>
          <w14:textFill>
            <w14:solidFill>
              <w14:schemeClr w14:val="tx1"/>
            </w14:solidFill>
          </w14:textFill>
        </w:rPr>
      </w:pPr>
    </w:p>
    <w:p>
      <w:pPr>
        <w:pageBreakBefore w:val="0"/>
        <w:kinsoku/>
        <w:wordWrap/>
        <w:overflowPunct/>
        <w:topLinePunct w:val="0"/>
        <w:bidi w:val="0"/>
        <w:spacing w:line="240" w:lineRule="auto"/>
        <w:ind w:firstLine="720" w:firstLineChars="200"/>
        <w:rPr>
          <w:rFonts w:hint="default" w:ascii="微软雅黑" w:hAnsi="微软雅黑" w:eastAsia="微软雅黑" w:cs="微软雅黑"/>
          <w:b w:val="0"/>
          <w:bCs w:val="0"/>
          <w:color w:val="000000" w:themeColor="text1"/>
          <w:sz w:val="36"/>
          <w:szCs w:val="36"/>
          <w:lang w:val="en-US"/>
          <w14:textFill>
            <w14:solidFill>
              <w14:schemeClr w14:val="tx1"/>
            </w14:solidFill>
          </w14:textFill>
        </w:rPr>
      </w:pPr>
      <w:r>
        <w:rPr>
          <w:rFonts w:hint="eastAsia" w:ascii="微软雅黑" w:hAnsi="微软雅黑" w:eastAsia="微软雅黑" w:cs="微软雅黑"/>
          <w:b w:val="0"/>
          <w:bCs w:val="0"/>
          <w:color w:val="000000" w:themeColor="text1"/>
          <w:sz w:val="36"/>
          <w:szCs w:val="36"/>
          <w14:textFill>
            <w14:solidFill>
              <w14:schemeClr w14:val="tx1"/>
            </w14:solidFill>
          </w14:textFill>
        </w:rPr>
        <w:t>项目编号：2022</w:t>
      </w:r>
      <w:r>
        <w:rPr>
          <w:rFonts w:hint="eastAsia" w:ascii="微软雅黑" w:hAnsi="微软雅黑" w:eastAsia="微软雅黑" w:cs="微软雅黑"/>
          <w:b w:val="0"/>
          <w:bCs w:val="0"/>
          <w:color w:val="000000" w:themeColor="text1"/>
          <w:sz w:val="36"/>
          <w:szCs w:val="36"/>
          <w:lang w:val="en-US" w:eastAsia="zh-CN"/>
          <w14:textFill>
            <w14:solidFill>
              <w14:schemeClr w14:val="tx1"/>
            </w14:solidFill>
          </w14:textFill>
        </w:rPr>
        <w:t>FW019</w:t>
      </w:r>
    </w:p>
    <w:p>
      <w:pPr>
        <w:pageBreakBefore w:val="0"/>
        <w:kinsoku/>
        <w:wordWrap/>
        <w:overflowPunct/>
        <w:topLinePunct w:val="0"/>
        <w:bidi w:val="0"/>
        <w:spacing w:line="240" w:lineRule="auto"/>
        <w:ind w:firstLine="720" w:firstLineChars="200"/>
        <w:rPr>
          <w:rFonts w:hint="eastAsia" w:ascii="微软雅黑" w:hAnsi="微软雅黑" w:eastAsia="微软雅黑" w:cs="微软雅黑"/>
          <w:b w:val="0"/>
          <w:bCs w:val="0"/>
          <w:color w:val="000000" w:themeColor="text1"/>
          <w:sz w:val="36"/>
          <w:szCs w:val="36"/>
          <w14:textFill>
            <w14:solidFill>
              <w14:schemeClr w14:val="tx1"/>
            </w14:solidFill>
          </w14:textFill>
        </w:rPr>
      </w:pPr>
    </w:p>
    <w:p>
      <w:pPr>
        <w:pageBreakBefore w:val="0"/>
        <w:kinsoku/>
        <w:wordWrap/>
        <w:overflowPunct/>
        <w:topLinePunct w:val="0"/>
        <w:bidi w:val="0"/>
        <w:spacing w:line="240" w:lineRule="auto"/>
        <w:ind w:firstLine="720" w:firstLineChars="200"/>
        <w:rPr>
          <w:rFonts w:hint="eastAsia" w:ascii="微软雅黑" w:hAnsi="微软雅黑" w:eastAsia="微软雅黑" w:cs="微软雅黑"/>
          <w:b w:val="0"/>
          <w:bCs w:val="0"/>
          <w:color w:val="000000" w:themeColor="text1"/>
          <w:sz w:val="36"/>
          <w:szCs w:val="36"/>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36"/>
          <w:szCs w:val="36"/>
          <w14:textFill>
            <w14:solidFill>
              <w14:schemeClr w14:val="tx1"/>
            </w14:solidFill>
          </w14:textFill>
        </w:rPr>
        <w:t>项目名称：</w:t>
      </w:r>
      <w:r>
        <w:rPr>
          <w:rFonts w:hint="eastAsia" w:ascii="微软雅黑" w:hAnsi="微软雅黑" w:eastAsia="微软雅黑" w:cs="微软雅黑"/>
          <w:b w:val="0"/>
          <w:bCs w:val="0"/>
          <w:color w:val="000000" w:themeColor="text1"/>
          <w:sz w:val="36"/>
          <w:szCs w:val="36"/>
          <w:lang w:val="en-US" w:eastAsia="zh-CN"/>
          <w14:textFill>
            <w14:solidFill>
              <w14:schemeClr w14:val="tx1"/>
            </w14:solidFill>
          </w14:textFill>
        </w:rPr>
        <w:t>7座以上</w:t>
      </w:r>
      <w:r>
        <w:rPr>
          <w:rFonts w:hint="eastAsia" w:ascii="微软雅黑" w:hAnsi="微软雅黑" w:eastAsia="微软雅黑" w:cs="微软雅黑"/>
          <w:b w:val="0"/>
          <w:bCs w:val="0"/>
          <w:color w:val="000000" w:themeColor="text1"/>
          <w:sz w:val="36"/>
          <w:szCs w:val="36"/>
          <w:lang w:eastAsia="zh-CN"/>
          <w14:textFill>
            <w14:solidFill>
              <w14:schemeClr w14:val="tx1"/>
            </w14:solidFill>
          </w14:textFill>
        </w:rPr>
        <w:t>车辆租赁服务</w:t>
      </w: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r>
        <w:rPr>
          <w:rFonts w:hint="eastAsia" w:ascii="微软雅黑" w:hAnsi="微软雅黑" w:eastAsia="微软雅黑" w:cs="微软雅黑"/>
          <w:b w:val="0"/>
          <w:bCs w:val="0"/>
          <w:color w:val="000000" w:themeColor="text1"/>
          <w:sz w:val="32"/>
          <w:szCs w:val="32"/>
          <w14:textFill>
            <w14:solidFill>
              <w14:schemeClr w14:val="tx1"/>
            </w14:solidFill>
          </w14:textFill>
        </w:rPr>
        <w:t xml:space="preserve">      </w:t>
      </w: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640" w:firstLineChars="200"/>
        <w:rPr>
          <w:rFonts w:hint="eastAsia" w:ascii="微软雅黑" w:hAnsi="微软雅黑" w:eastAsia="微软雅黑" w:cs="微软雅黑"/>
          <w:b w:val="0"/>
          <w:bCs w:val="0"/>
          <w:color w:val="000000" w:themeColor="text1"/>
          <w:sz w:val="32"/>
          <w:szCs w:val="32"/>
          <w14:textFill>
            <w14:solidFill>
              <w14:schemeClr w14:val="tx1"/>
            </w14:solidFill>
          </w14:textFill>
        </w:rPr>
      </w:pPr>
      <w:r>
        <w:rPr>
          <w:rFonts w:hint="eastAsia" w:ascii="微软雅黑" w:hAnsi="微软雅黑" w:eastAsia="微软雅黑" w:cs="微软雅黑"/>
          <w:b w:val="0"/>
          <w:bCs w:val="0"/>
          <w:color w:val="000000" w:themeColor="text1"/>
          <w:sz w:val="32"/>
          <w:szCs w:val="32"/>
          <w14:textFill>
            <w14:solidFill>
              <w14:schemeClr w14:val="tx1"/>
            </w14:solidFill>
          </w14:textFill>
        </w:rPr>
        <w:t>采购人：重庆医科大学附属永川医院</w:t>
      </w:r>
    </w:p>
    <w:p>
      <w:pPr>
        <w:pageBreakBefore w:val="0"/>
        <w:kinsoku/>
        <w:wordWrap/>
        <w:overflowPunct/>
        <w:topLinePunct w:val="0"/>
        <w:bidi w:val="0"/>
        <w:spacing w:line="240" w:lineRule="auto"/>
        <w:ind w:firstLine="640" w:firstLineChars="200"/>
        <w:jc w:val="center"/>
        <w:outlineLvl w:val="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640" w:firstLineChars="200"/>
        <w:jc w:val="center"/>
        <w:outlineLvl w:val="0"/>
        <w:rPr>
          <w:rFonts w:hint="eastAsia" w:ascii="微软雅黑" w:hAnsi="微软雅黑" w:eastAsia="微软雅黑" w:cs="微软雅黑"/>
          <w:b w:val="0"/>
          <w:bCs w:val="0"/>
          <w:color w:val="000000" w:themeColor="text1"/>
          <w:sz w:val="32"/>
          <w:szCs w:val="32"/>
          <w14:textFill>
            <w14:solidFill>
              <w14:schemeClr w14:val="tx1"/>
            </w14:solidFill>
          </w14:textFill>
        </w:rPr>
      </w:pPr>
      <w:r>
        <w:rPr>
          <w:rFonts w:hint="eastAsia" w:ascii="微软雅黑" w:hAnsi="微软雅黑" w:eastAsia="微软雅黑" w:cs="微软雅黑"/>
          <w:b w:val="0"/>
          <w:bCs w:val="0"/>
          <w:color w:val="000000" w:themeColor="text1"/>
          <w:sz w:val="32"/>
          <w:szCs w:val="32"/>
          <w14:textFill>
            <w14:solidFill>
              <w14:schemeClr w14:val="tx1"/>
            </w14:solidFill>
          </w14:textFill>
        </w:rPr>
        <w:t>二〇二二年</w:t>
      </w:r>
      <w:r>
        <w:rPr>
          <w:rFonts w:hint="eastAsia" w:ascii="微软雅黑" w:hAnsi="微软雅黑" w:eastAsia="微软雅黑" w:cs="微软雅黑"/>
          <w:b w:val="0"/>
          <w:bCs w:val="0"/>
          <w:color w:val="000000" w:themeColor="text1"/>
          <w:sz w:val="32"/>
          <w:szCs w:val="32"/>
          <w:lang w:eastAsia="zh-CN"/>
          <w14:textFill>
            <w14:solidFill>
              <w14:schemeClr w14:val="tx1"/>
            </w14:solidFill>
          </w14:textFill>
        </w:rPr>
        <w:t>五</w:t>
      </w:r>
      <w:r>
        <w:rPr>
          <w:rFonts w:hint="eastAsia" w:ascii="微软雅黑" w:hAnsi="微软雅黑" w:eastAsia="微软雅黑" w:cs="微软雅黑"/>
          <w:b w:val="0"/>
          <w:bCs w:val="0"/>
          <w:color w:val="000000" w:themeColor="text1"/>
          <w:sz w:val="32"/>
          <w:szCs w:val="32"/>
          <w14:textFill>
            <w14:solidFill>
              <w14:schemeClr w14:val="tx1"/>
            </w14:solidFill>
          </w14:textFill>
        </w:rPr>
        <w:t>月</w:t>
      </w:r>
    </w:p>
    <w:p>
      <w:pPr>
        <w:pageBreakBefore w:val="0"/>
        <w:kinsoku/>
        <w:wordWrap/>
        <w:overflowPunct/>
        <w:topLinePunct w:val="0"/>
        <w:bidi w:val="0"/>
        <w:spacing w:line="240" w:lineRule="auto"/>
        <w:ind w:firstLine="640" w:firstLineChars="200"/>
        <w:jc w:val="center"/>
        <w:outlineLvl w:val="0"/>
        <w:rPr>
          <w:rFonts w:hint="eastAsia" w:ascii="微软雅黑" w:hAnsi="微软雅黑" w:eastAsia="微软雅黑" w:cs="微软雅黑"/>
          <w:b w:val="0"/>
          <w:bCs w:val="0"/>
          <w:color w:val="000000" w:themeColor="text1"/>
          <w:sz w:val="32"/>
          <w:szCs w:val="32"/>
          <w14:textFill>
            <w14:solidFill>
              <w14:schemeClr w14:val="tx1"/>
            </w14:solidFill>
          </w14:textFill>
        </w:rPr>
      </w:pPr>
    </w:p>
    <w:p>
      <w:pPr>
        <w:pageBreakBefore w:val="0"/>
        <w:kinsoku/>
        <w:wordWrap/>
        <w:overflowPunct/>
        <w:topLinePunct w:val="0"/>
        <w:bidi w:val="0"/>
        <w:spacing w:line="240" w:lineRule="auto"/>
        <w:ind w:firstLine="880" w:firstLineChars="200"/>
        <w:jc w:val="center"/>
        <w:outlineLvl w:val="0"/>
        <w:rPr>
          <w:rFonts w:hint="eastAsia" w:ascii="微软雅黑" w:hAnsi="微软雅黑" w:eastAsia="微软雅黑" w:cs="微软雅黑"/>
          <w:color w:val="000000" w:themeColor="text1"/>
          <w:sz w:val="44"/>
          <w:szCs w:val="28"/>
          <w14:textFill>
            <w14:solidFill>
              <w14:schemeClr w14:val="tx1"/>
            </w14:solidFill>
          </w14:textFill>
        </w:rPr>
      </w:pPr>
    </w:p>
    <w:p>
      <w:pPr>
        <w:pageBreakBefore w:val="0"/>
        <w:kinsoku/>
        <w:wordWrap/>
        <w:overflowPunct/>
        <w:topLinePunct w:val="0"/>
        <w:bidi w:val="0"/>
        <w:spacing w:line="240" w:lineRule="auto"/>
        <w:jc w:val="both"/>
        <w:outlineLvl w:val="0"/>
        <w:rPr>
          <w:rFonts w:hint="eastAsia" w:ascii="微软雅黑" w:hAnsi="微软雅黑" w:eastAsia="微软雅黑" w:cs="微软雅黑"/>
          <w:color w:val="000000" w:themeColor="text1"/>
          <w:sz w:val="44"/>
          <w:szCs w:val="28"/>
          <w14:textFill>
            <w14:solidFill>
              <w14:schemeClr w14:val="tx1"/>
            </w14:solidFill>
          </w14:textFill>
        </w:rPr>
      </w:pPr>
    </w:p>
    <w:p>
      <w:pPr>
        <w:pageBreakBefore w:val="0"/>
        <w:kinsoku/>
        <w:wordWrap/>
        <w:overflowPunct/>
        <w:topLinePunct w:val="0"/>
        <w:bidi w:val="0"/>
        <w:spacing w:line="240" w:lineRule="auto"/>
        <w:ind w:firstLine="880" w:firstLineChars="200"/>
        <w:jc w:val="center"/>
        <w:outlineLvl w:val="0"/>
        <w:rPr>
          <w:rFonts w:hint="eastAsia" w:ascii="微软雅黑" w:hAnsi="微软雅黑" w:eastAsia="微软雅黑" w:cs="微软雅黑"/>
          <w:color w:val="000000" w:themeColor="text1"/>
          <w:sz w:val="44"/>
          <w:szCs w:val="28"/>
          <w14:textFill>
            <w14:solidFill>
              <w14:schemeClr w14:val="tx1"/>
            </w14:solidFill>
          </w14:textFill>
        </w:rPr>
      </w:pPr>
      <w:r>
        <w:rPr>
          <w:rFonts w:hint="eastAsia" w:ascii="微软雅黑" w:hAnsi="微软雅黑" w:eastAsia="微软雅黑" w:cs="微软雅黑"/>
          <w:color w:val="000000" w:themeColor="text1"/>
          <w:sz w:val="44"/>
          <w:szCs w:val="28"/>
          <w14:textFill>
            <w14:solidFill>
              <w14:schemeClr w14:val="tx1"/>
            </w14:solidFill>
          </w14:textFill>
        </w:rPr>
        <w:t xml:space="preserve">  目   录</w:t>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color w:val="000000" w:themeColor="text1"/>
          <w:szCs w:val="21"/>
          <w14:textFill>
            <w14:solidFill>
              <w14:schemeClr w14:val="tx1"/>
            </w14:solidFill>
          </w14:textFill>
        </w:rPr>
        <w:instrText xml:space="preserve"> TOC \o "1-3" \h \z </w:instrText>
      </w:r>
      <w:r>
        <w:rPr>
          <w:rFonts w:hint="eastAsia" w:ascii="微软雅黑" w:hAnsi="微软雅黑" w:eastAsia="微软雅黑" w:cs="微软雅黑"/>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_Toc3179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_Toc3179 \h </w:instrText>
      </w:r>
      <w:r>
        <w:fldChar w:fldCharType="separate"/>
      </w:r>
      <w:r>
        <w:t>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_Toc19546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 比选内容</w:t>
      </w:r>
      <w:r>
        <w:tab/>
      </w:r>
      <w:r>
        <w:fldChar w:fldCharType="begin"/>
      </w:r>
      <w:r>
        <w:instrText xml:space="preserve"> PAGEREF _Toc19546 \h </w:instrText>
      </w:r>
      <w:r>
        <w:fldChar w:fldCharType="separate"/>
      </w:r>
      <w:r>
        <w:t>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_Toc24334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二、</w:t>
      </w:r>
      <w:r>
        <w:rPr>
          <w:rFonts w:hint="eastAsia" w:ascii="微软雅黑" w:hAnsi="微软雅黑" w:eastAsia="微软雅黑" w:cs="微软雅黑"/>
          <w:szCs w:val="24"/>
        </w:rPr>
        <w:t>资金来源</w:t>
      </w:r>
      <w:r>
        <w:tab/>
      </w:r>
      <w:r>
        <w:fldChar w:fldCharType="begin"/>
      </w:r>
      <w:r>
        <w:instrText xml:space="preserve"> PAGEREF _Toc24334 \h </w:instrText>
      </w:r>
      <w:r>
        <w:fldChar w:fldCharType="separate"/>
      </w:r>
      <w:r>
        <w:t>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_Toc12831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三、供应商资格要求</w:t>
      </w:r>
      <w:r>
        <w:tab/>
      </w:r>
      <w:r>
        <w:fldChar w:fldCharType="begin"/>
      </w:r>
      <w:r>
        <w:instrText xml:space="preserve"> PAGEREF _Toc12831 \h </w:instrText>
      </w:r>
      <w:r>
        <w:fldChar w:fldCharType="separate"/>
      </w:r>
      <w:r>
        <w:t>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_Toc20308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四、比选有关说明</w:t>
      </w:r>
      <w:r>
        <w:tab/>
      </w:r>
      <w:r>
        <w:fldChar w:fldCharType="begin"/>
      </w:r>
      <w:r>
        <w:instrText xml:space="preserve"> PAGEREF _Toc20308 \h </w:instrText>
      </w:r>
      <w:r>
        <w:fldChar w:fldCharType="separate"/>
      </w:r>
      <w:r>
        <w:t>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_Toc19627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_Toc19627 \h </w:instrText>
      </w:r>
      <w:r>
        <w:fldChar w:fldCharType="separate"/>
      </w:r>
      <w:r>
        <w:t>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_Toc19760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六、其它有关规定</w:t>
      </w:r>
      <w:r>
        <w:tab/>
      </w:r>
      <w:r>
        <w:fldChar w:fldCharType="begin"/>
      </w:r>
      <w:r>
        <w:instrText xml:space="preserve"> PAGEREF _Toc19760 \h </w:instrText>
      </w:r>
      <w:r>
        <w:fldChar w:fldCharType="separate"/>
      </w:r>
      <w:r>
        <w:t>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_Toc15282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七、防疫要求</w:t>
      </w:r>
      <w:r>
        <w:tab/>
      </w:r>
      <w:r>
        <w:fldChar w:fldCharType="begin"/>
      </w:r>
      <w:r>
        <w:instrText xml:space="preserve"> PAGEREF _Toc15282 \h </w:instrText>
      </w:r>
      <w:r>
        <w:fldChar w:fldCharType="separate"/>
      </w:r>
      <w:r>
        <w:t>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_Toc21226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八、联系方式</w:t>
      </w:r>
      <w:r>
        <w:tab/>
      </w:r>
      <w:r>
        <w:fldChar w:fldCharType="begin"/>
      </w:r>
      <w:r>
        <w:instrText xml:space="preserve"> PAGEREF _Toc21226 \h </w:instrText>
      </w:r>
      <w:r>
        <w:fldChar w:fldCharType="separate"/>
      </w:r>
      <w:r>
        <w:t>5</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_Toc3123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_Toc3123 \h </w:instrText>
      </w:r>
      <w:r>
        <w:fldChar w:fldCharType="separate"/>
      </w:r>
      <w:r>
        <w:t>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_Toc11770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一、比选费用</w:t>
      </w:r>
      <w:r>
        <w:tab/>
      </w:r>
      <w:r>
        <w:fldChar w:fldCharType="begin"/>
      </w:r>
      <w:r>
        <w:instrText xml:space="preserve"> PAGEREF _Toc11770 \h </w:instrText>
      </w:r>
      <w:r>
        <w:fldChar w:fldCharType="separate"/>
      </w:r>
      <w:r>
        <w:t>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_Toc16498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二、比选文件</w:t>
      </w:r>
      <w:r>
        <w:tab/>
      </w:r>
      <w:r>
        <w:fldChar w:fldCharType="begin"/>
      </w:r>
      <w:r>
        <w:instrText xml:space="preserve"> PAGEREF _Toc16498 \h </w:instrText>
      </w:r>
      <w:r>
        <w:fldChar w:fldCharType="separate"/>
      </w:r>
      <w:r>
        <w:t>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_Toc16272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三、比选要求</w:t>
      </w:r>
      <w:r>
        <w:tab/>
      </w:r>
      <w:r>
        <w:fldChar w:fldCharType="begin"/>
      </w:r>
      <w:r>
        <w:instrText xml:space="preserve"> PAGEREF _Toc16272 \h </w:instrText>
      </w:r>
      <w:r>
        <w:fldChar w:fldCharType="separate"/>
      </w:r>
      <w:r>
        <w:t>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_Toc1243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四、比选程序</w:t>
      </w:r>
      <w:r>
        <w:tab/>
      </w:r>
      <w:r>
        <w:fldChar w:fldCharType="begin"/>
      </w:r>
      <w:r>
        <w:instrText xml:space="preserve"> PAGEREF _Toc1243 \h </w:instrText>
      </w:r>
      <w:r>
        <w:fldChar w:fldCharType="separate"/>
      </w:r>
      <w:r>
        <w:t>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_Toc31355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五、评审依据</w:t>
      </w:r>
      <w:r>
        <w:tab/>
      </w:r>
      <w:r>
        <w:fldChar w:fldCharType="begin"/>
      </w:r>
      <w:r>
        <w:instrText xml:space="preserve"> PAGEREF _Toc31355 \h </w:instrText>
      </w:r>
      <w:r>
        <w:fldChar w:fldCharType="separate"/>
      </w:r>
      <w:r>
        <w:t>10</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_Toc24771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六、成交原则</w:t>
      </w:r>
      <w:r>
        <w:tab/>
      </w:r>
      <w:r>
        <w:fldChar w:fldCharType="begin"/>
      </w:r>
      <w:r>
        <w:instrText xml:space="preserve"> PAGEREF _Toc24771 \h </w:instrText>
      </w:r>
      <w:r>
        <w:fldChar w:fldCharType="separate"/>
      </w:r>
      <w:r>
        <w:t>10</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_Toc20830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七、成交通知</w:t>
      </w:r>
      <w:r>
        <w:tab/>
      </w:r>
      <w:r>
        <w:fldChar w:fldCharType="begin"/>
      </w:r>
      <w:r>
        <w:instrText xml:space="preserve"> PAGEREF _Toc20830 \h </w:instrText>
      </w:r>
      <w:r>
        <w:fldChar w:fldCharType="separate"/>
      </w:r>
      <w:r>
        <w:t>11</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_Toc27236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八、关于质疑和投诉</w:t>
      </w:r>
      <w:r>
        <w:tab/>
      </w:r>
      <w:r>
        <w:fldChar w:fldCharType="begin"/>
      </w:r>
      <w:r>
        <w:instrText xml:space="preserve"> PAGEREF _Toc27236 \h </w:instrText>
      </w:r>
      <w:r>
        <w:fldChar w:fldCharType="separate"/>
      </w:r>
      <w:r>
        <w:t>12</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_Toc8003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九、签订合同</w:t>
      </w:r>
      <w:r>
        <w:tab/>
      </w:r>
      <w:r>
        <w:fldChar w:fldCharType="begin"/>
      </w:r>
      <w:r>
        <w:instrText xml:space="preserve"> PAGEREF _Toc8003 \h </w:instrText>
      </w:r>
      <w:r>
        <w:fldChar w:fldCharType="separate"/>
      </w:r>
      <w:r>
        <w:t>13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_Toc32645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十、其他</w:t>
      </w:r>
      <w:r>
        <w:tab/>
      </w:r>
      <w:r>
        <w:fldChar w:fldCharType="begin"/>
      </w:r>
      <w:r>
        <w:instrText xml:space="preserve"> PAGEREF _Toc32645 \h </w:instrText>
      </w:r>
      <w:r>
        <w:fldChar w:fldCharType="separate"/>
      </w:r>
      <w:r>
        <w:t>13</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_Toc9742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szCs w:val="36"/>
        </w:rPr>
        <w:t>第三篇  项目服务需求</w:t>
      </w:r>
      <w:r>
        <w:tab/>
      </w:r>
      <w:r>
        <w:fldChar w:fldCharType="begin"/>
      </w:r>
      <w:r>
        <w:instrText xml:space="preserve"> PAGEREF _Toc9742 \h </w:instrText>
      </w:r>
      <w:r>
        <w:fldChar w:fldCharType="separate"/>
      </w:r>
      <w:r>
        <w:t>14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_Toc20661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 xml:space="preserve">一、 </w:t>
      </w:r>
      <w:r>
        <w:rPr>
          <w:rFonts w:hint="eastAsia" w:ascii="微软雅黑" w:hAnsi="微软雅黑" w:eastAsia="微软雅黑" w:cs="微软雅黑"/>
          <w:szCs w:val="24"/>
          <w:lang w:eastAsia="zh-CN"/>
        </w:rPr>
        <w:t>车辆租赁类型</w:t>
      </w:r>
      <w:r>
        <w:rPr>
          <w:rFonts w:hint="eastAsia" w:ascii="微软雅黑" w:hAnsi="微软雅黑" w:eastAsia="微软雅黑" w:cs="微软雅黑"/>
          <w:szCs w:val="24"/>
        </w:rPr>
        <w:t>表</w:t>
      </w:r>
      <w:r>
        <w:tab/>
      </w:r>
      <w:r>
        <w:fldChar w:fldCharType="begin"/>
      </w:r>
      <w:r>
        <w:instrText xml:space="preserve"> PAGEREF _Toc20661 \h </w:instrText>
      </w:r>
      <w:r>
        <w:fldChar w:fldCharType="separate"/>
      </w:r>
      <w:r>
        <w:t>14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_Toc22890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二、</w:t>
      </w:r>
      <w:r>
        <w:rPr>
          <w:rFonts w:hint="eastAsia" w:ascii="微软雅黑" w:hAnsi="微软雅黑" w:eastAsia="微软雅黑" w:cs="微软雅黑"/>
          <w:szCs w:val="24"/>
          <w:lang w:eastAsia="zh-CN"/>
        </w:rPr>
        <w:t>服务要求</w:t>
      </w:r>
      <w:r>
        <w:tab/>
      </w:r>
      <w:r>
        <w:fldChar w:fldCharType="begin"/>
      </w:r>
      <w:r>
        <w:instrText xml:space="preserve"> PAGEREF _Toc22890 \h </w:instrText>
      </w:r>
      <w:r>
        <w:fldChar w:fldCharType="separate"/>
      </w:r>
      <w:r>
        <w:t>14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_Toc15102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szCs w:val="36"/>
        </w:rPr>
        <w:t>第四篇  项目商务需求</w:t>
      </w:r>
      <w:r>
        <w:tab/>
      </w:r>
      <w:r>
        <w:fldChar w:fldCharType="begin"/>
      </w:r>
      <w:r>
        <w:instrText xml:space="preserve"> PAGEREF _Toc15102 \h </w:instrText>
      </w:r>
      <w:r>
        <w:fldChar w:fldCharType="separate"/>
      </w:r>
      <w:r>
        <w:t>15</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_Toc8729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一、服务期限</w:t>
      </w:r>
      <w:r>
        <w:tab/>
      </w:r>
      <w:r>
        <w:fldChar w:fldCharType="begin"/>
      </w:r>
      <w:r>
        <w:instrText xml:space="preserve"> PAGEREF _Toc8729 \h </w:instrText>
      </w:r>
      <w:r>
        <w:fldChar w:fldCharType="separate"/>
      </w:r>
      <w:r>
        <w:t>15</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_Toc3187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二</w:t>
      </w:r>
      <w:r>
        <w:rPr>
          <w:rFonts w:hint="eastAsia" w:ascii="微软雅黑" w:hAnsi="微软雅黑" w:eastAsia="微软雅黑" w:cs="微软雅黑"/>
          <w:szCs w:val="24"/>
        </w:rPr>
        <w:t>、付款方式</w:t>
      </w:r>
      <w:r>
        <w:tab/>
      </w:r>
      <w:r>
        <w:fldChar w:fldCharType="begin"/>
      </w:r>
      <w:r>
        <w:instrText xml:space="preserve"> PAGEREF _Toc3187 \h </w:instrText>
      </w:r>
      <w:r>
        <w:fldChar w:fldCharType="separate"/>
      </w:r>
      <w:r>
        <w:t>15</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_Toc25812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三</w:t>
      </w:r>
      <w:r>
        <w:rPr>
          <w:rFonts w:hint="eastAsia" w:ascii="微软雅黑" w:hAnsi="微软雅黑" w:eastAsia="微软雅黑" w:cs="微软雅黑"/>
          <w:szCs w:val="24"/>
        </w:rPr>
        <w:t>、其他</w:t>
      </w:r>
      <w:r>
        <w:tab/>
      </w:r>
      <w:r>
        <w:fldChar w:fldCharType="begin"/>
      </w:r>
      <w:r>
        <w:instrText xml:space="preserve"> PAGEREF _Toc25812 \h </w:instrText>
      </w:r>
      <w:r>
        <w:fldChar w:fldCharType="separate"/>
      </w:r>
      <w:r>
        <w:t>15</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_Toc29204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kern w:val="2"/>
          <w:szCs w:val="36"/>
          <w:lang w:val="en-US" w:eastAsia="zh-CN" w:bidi="ar-SA"/>
        </w:rPr>
        <w:t>第五篇 合同草案条款</w:t>
      </w:r>
      <w:r>
        <w:tab/>
      </w:r>
      <w:r>
        <w:fldChar w:fldCharType="begin"/>
      </w:r>
      <w:r>
        <w:instrText xml:space="preserve"> PAGEREF _Toc29204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_Toc12573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一、定义</w:t>
      </w:r>
      <w:r>
        <w:tab/>
      </w:r>
      <w:r>
        <w:fldChar w:fldCharType="begin"/>
      </w:r>
      <w:r>
        <w:instrText xml:space="preserve"> PAGEREF _Toc12573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_Toc467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二、</w:t>
      </w:r>
      <w:r>
        <w:rPr>
          <w:rFonts w:hint="eastAsia" w:ascii="微软雅黑" w:hAnsi="微软雅黑" w:eastAsia="微软雅黑" w:cs="微软雅黑"/>
          <w:szCs w:val="24"/>
          <w:lang w:eastAsia="zh-CN"/>
        </w:rPr>
        <w:t>服务</w:t>
      </w:r>
      <w:r>
        <w:rPr>
          <w:rFonts w:hint="eastAsia" w:ascii="微软雅黑" w:hAnsi="微软雅黑" w:eastAsia="微软雅黑" w:cs="微软雅黑"/>
          <w:szCs w:val="24"/>
        </w:rPr>
        <w:t>内容</w:t>
      </w:r>
      <w:r>
        <w:tab/>
      </w:r>
      <w:r>
        <w:fldChar w:fldCharType="begin"/>
      </w:r>
      <w:r>
        <w:instrText xml:space="preserve"> PAGEREF _Toc467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_Toc24498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三、合同价格</w:t>
      </w:r>
      <w:r>
        <w:tab/>
      </w:r>
      <w:r>
        <w:fldChar w:fldCharType="begin"/>
      </w:r>
      <w:r>
        <w:instrText xml:space="preserve"> PAGEREF _Toc24498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_Toc10688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四、转包或分包</w:t>
      </w:r>
      <w:r>
        <w:tab/>
      </w:r>
      <w:r>
        <w:fldChar w:fldCharType="begin"/>
      </w:r>
      <w:r>
        <w:instrText xml:space="preserve"> PAGEREF _Toc10688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_Toc25986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_Toc25986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_Toc21932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六、付款</w:t>
      </w:r>
      <w:r>
        <w:tab/>
      </w:r>
      <w:r>
        <w:fldChar w:fldCharType="begin"/>
      </w:r>
      <w:r>
        <w:instrText xml:space="preserve"> PAGEREF _Toc21932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_Toc1868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、合同争议的解决</w:t>
      </w:r>
      <w:r>
        <w:tab/>
      </w:r>
      <w:r>
        <w:fldChar w:fldCharType="begin"/>
      </w:r>
      <w:r>
        <w:instrText xml:space="preserve"> PAGEREF _Toc1868 \h </w:instrText>
      </w:r>
      <w:r>
        <w:fldChar w:fldCharType="separate"/>
      </w:r>
      <w:r>
        <w:t>16</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_Toc26303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八</w:t>
      </w:r>
      <w:r>
        <w:rPr>
          <w:rFonts w:hint="eastAsia" w:ascii="微软雅黑" w:hAnsi="微软雅黑" w:eastAsia="微软雅黑" w:cs="微软雅黑"/>
          <w:szCs w:val="24"/>
        </w:rPr>
        <w:t>、违约责任</w:t>
      </w:r>
      <w:r>
        <w:tab/>
      </w:r>
      <w:r>
        <w:fldChar w:fldCharType="begin"/>
      </w:r>
      <w:r>
        <w:instrText xml:space="preserve"> PAGEREF _Toc26303 \h </w:instrText>
      </w:r>
      <w:r>
        <w:fldChar w:fldCharType="separate"/>
      </w:r>
      <w:r>
        <w:t>17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_Toc15197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lang w:eastAsia="zh-CN"/>
        </w:rPr>
        <w:t>九</w:t>
      </w:r>
      <w:r>
        <w:rPr>
          <w:rFonts w:hint="eastAsia" w:ascii="微软雅黑" w:hAnsi="微软雅黑" w:eastAsia="微软雅黑" w:cs="微软雅黑"/>
          <w:szCs w:val="24"/>
        </w:rPr>
        <w:t>、合同生效及其它</w:t>
      </w:r>
      <w:r>
        <w:tab/>
      </w:r>
      <w:r>
        <w:fldChar w:fldCharType="begin"/>
      </w:r>
      <w:r>
        <w:instrText xml:space="preserve"> PAGEREF _Toc15197 \h </w:instrText>
      </w:r>
      <w:r>
        <w:fldChar w:fldCharType="separate"/>
      </w:r>
      <w:r>
        <w:t>17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_Toc13521 </w:instrText>
      </w:r>
      <w:r>
        <w:rPr>
          <w:rFonts w:hint="eastAsia" w:ascii="微软雅黑" w:hAnsi="微软雅黑" w:eastAsia="微软雅黑" w:cs="微软雅黑"/>
          <w:szCs w:val="21"/>
        </w:rPr>
        <w:fldChar w:fldCharType="separate"/>
      </w:r>
      <w:r>
        <w:rPr>
          <w:rFonts w:hint="eastAsia" w:ascii="微软雅黑" w:hAnsi="微软雅黑" w:eastAsia="微软雅黑" w:cs="微软雅黑"/>
          <w:bCs/>
          <w:szCs w:val="36"/>
        </w:rPr>
        <w:t>第六篇  响应文件格式要求</w:t>
      </w:r>
      <w:r>
        <w:tab/>
      </w:r>
      <w:r>
        <w:fldChar w:fldCharType="begin"/>
      </w:r>
      <w:r>
        <w:instrText xml:space="preserve"> PAGEREF _Toc13521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_Toc12799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一、经济部分</w:t>
      </w:r>
      <w:r>
        <w:tab/>
      </w:r>
      <w:r>
        <w:fldChar w:fldCharType="begin"/>
      </w:r>
      <w:r>
        <w:instrText xml:space="preserve"> PAGEREF _Toc12799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_Toc20363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二、服务部分</w:t>
      </w:r>
      <w:r>
        <w:tab/>
      </w:r>
      <w:r>
        <w:fldChar w:fldCharType="begin"/>
      </w:r>
      <w:r>
        <w:instrText xml:space="preserve"> PAGEREF _Toc20363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_Toc660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三、商务部分</w:t>
      </w:r>
      <w:r>
        <w:tab/>
      </w:r>
      <w:r>
        <w:fldChar w:fldCharType="begin"/>
      </w:r>
      <w:r>
        <w:instrText xml:space="preserve"> PAGEREF _Toc660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_Toc9629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四、资格条件及其他</w:t>
      </w:r>
      <w:r>
        <w:tab/>
      </w:r>
      <w:r>
        <w:fldChar w:fldCharType="begin"/>
      </w:r>
      <w:r>
        <w:instrText xml:space="preserve"> PAGEREF _Toc9629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45"/>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_Toc10881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_Toc10881 \h </w:instrText>
      </w:r>
      <w:r>
        <w:fldChar w:fldCharType="separate"/>
      </w:r>
      <w:r>
        <w:t>18</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29"/>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_Toc10889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一、经济部分</w:t>
      </w:r>
      <w:r>
        <w:tab/>
      </w:r>
      <w:r>
        <w:fldChar w:fldCharType="begin"/>
      </w:r>
      <w:r>
        <w:instrText xml:space="preserve"> PAGEREF _Toc10889 \h </w:instrText>
      </w:r>
      <w:r>
        <w:fldChar w:fldCharType="separate"/>
      </w:r>
      <w:r>
        <w:t>19</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29"/>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_Toc13380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二、服务部分</w:t>
      </w:r>
      <w:r>
        <w:tab/>
      </w:r>
      <w:r>
        <w:fldChar w:fldCharType="begin"/>
      </w:r>
      <w:r>
        <w:instrText xml:space="preserve"> PAGEREF _Toc13380 \h </w:instrText>
      </w:r>
      <w:r>
        <w:fldChar w:fldCharType="separate"/>
      </w:r>
      <w:r>
        <w:t>22</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29"/>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_Toc6095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三、商务部分</w:t>
      </w:r>
      <w:r>
        <w:tab/>
      </w:r>
      <w:r>
        <w:fldChar w:fldCharType="begin"/>
      </w:r>
      <w:r>
        <w:instrText xml:space="preserve"> PAGEREF _Toc6095 \h </w:instrText>
      </w:r>
      <w:r>
        <w:fldChar w:fldCharType="separate"/>
      </w:r>
      <w:r>
        <w:t>24</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29"/>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_Toc20589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24"/>
        </w:rPr>
        <w:t>四、资格条件及其他</w:t>
      </w:r>
      <w:r>
        <w:tab/>
      </w:r>
      <w:r>
        <w:fldChar w:fldCharType="begin"/>
      </w:r>
      <w:r>
        <w:instrText xml:space="preserve"> PAGEREF _Toc20589 \h </w:instrText>
      </w:r>
      <w:r>
        <w:fldChar w:fldCharType="separate"/>
      </w:r>
      <w:r>
        <w:t>27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_Toc3204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36"/>
          <w:lang w:val="en-US" w:eastAsia="zh-CN"/>
        </w:rPr>
        <w:t>重庆医科大学附属永川医院</w:t>
      </w:r>
      <w:r>
        <w:tab/>
      </w:r>
      <w:r>
        <w:fldChar w:fldCharType="begin"/>
      </w:r>
      <w:r>
        <w:instrText xml:space="preserve"> PAGEREF _Toc3204 \h </w:instrText>
      </w:r>
      <w:r>
        <w:fldChar w:fldCharType="separate"/>
      </w:r>
      <w:r>
        <w:t>37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_Toc14175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36"/>
          <w:lang w:val="en-US" w:eastAsia="zh-CN"/>
        </w:rPr>
        <w:t>参加医院院内采购活动来院人员</w:t>
      </w:r>
      <w:r>
        <w:tab/>
      </w:r>
      <w:r>
        <w:fldChar w:fldCharType="begin"/>
      </w:r>
      <w:r>
        <w:instrText xml:space="preserve"> PAGEREF _Toc14175 \h </w:instrText>
      </w:r>
      <w:r>
        <w:fldChar w:fldCharType="separate"/>
      </w:r>
      <w:r>
        <w:t>37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color w:val="000000" w:themeColor="text1"/>
          <w:szCs w:val="21"/>
          <w14:textFill>
            <w14:solidFill>
              <w14:schemeClr w14:val="tx1"/>
            </w14:solidFill>
          </w14:textFill>
        </w:rPr>
        <w:fldChar w:fldCharType="begin"/>
      </w:r>
      <w:r>
        <w:rPr>
          <w:rFonts w:hint="eastAsia" w:ascii="微软雅黑" w:hAnsi="微软雅黑" w:eastAsia="微软雅黑" w:cs="微软雅黑"/>
          <w:szCs w:val="21"/>
        </w:rPr>
        <w:instrText xml:space="preserve"> HYPERLINK \l _Toc9880 </w:instrText>
      </w:r>
      <w:r>
        <w:rPr>
          <w:rFonts w:hint="eastAsia" w:ascii="微软雅黑" w:hAnsi="微软雅黑" w:eastAsia="微软雅黑" w:cs="微软雅黑"/>
          <w:szCs w:val="21"/>
        </w:rPr>
        <w:fldChar w:fldCharType="separate"/>
      </w:r>
      <w:r>
        <w:rPr>
          <w:rFonts w:hint="eastAsia" w:ascii="微软雅黑" w:hAnsi="微软雅黑" w:eastAsia="微软雅黑" w:cs="微软雅黑"/>
          <w:szCs w:val="36"/>
        </w:rPr>
        <w:t>新冠肺炎疫情防控工作</w:t>
      </w:r>
      <w:r>
        <w:rPr>
          <w:rFonts w:hint="eastAsia" w:ascii="微软雅黑" w:hAnsi="微软雅黑" w:eastAsia="微软雅黑" w:cs="微软雅黑"/>
          <w:szCs w:val="36"/>
          <w:lang w:eastAsia="zh-CN"/>
        </w:rPr>
        <w:t>告知书</w:t>
      </w:r>
      <w:r>
        <w:tab/>
      </w:r>
      <w:r>
        <w:fldChar w:fldCharType="begin"/>
      </w:r>
      <w:r>
        <w:instrText xml:space="preserve"> PAGEREF _Toc9880 \h </w:instrText>
      </w:r>
      <w:r>
        <w:fldChar w:fldCharType="separate"/>
      </w:r>
      <w:r>
        <w:t>37</w:t>
      </w:r>
      <w:r>
        <w:fldChar w:fldCharType="end"/>
      </w:r>
      <w:r>
        <w:rPr>
          <w:rFonts w:hint="eastAsia" w:ascii="微软雅黑" w:hAnsi="微软雅黑" w:eastAsia="微软雅黑" w:cs="微软雅黑"/>
          <w:color w:val="000000" w:themeColor="text1"/>
          <w:szCs w:val="21"/>
          <w14:textFill>
            <w14:solidFill>
              <w14:schemeClr w14:val="tx1"/>
            </w14:solidFill>
          </w14:textFill>
        </w:rPr>
        <w:fldChar w:fldCharType="end"/>
      </w:r>
    </w:p>
    <w:p>
      <w:pPr>
        <w:pageBreakBefore w:val="0"/>
        <w:tabs>
          <w:tab w:val="right" w:leader="dot" w:pos="9402"/>
        </w:tabs>
        <w:kinsoku/>
        <w:wordWrap/>
        <w:overflowPunct/>
        <w:topLinePunct w:val="0"/>
        <w:bidi w:val="0"/>
        <w:spacing w:line="240" w:lineRule="auto"/>
        <w:ind w:left="420" w:leftChars="200" w:firstLine="420" w:firstLineChars="200"/>
        <w:rPr>
          <w:rFonts w:hint="eastAsia" w:ascii="微软雅黑" w:hAnsi="微软雅黑" w:eastAsia="微软雅黑" w:cs="微软雅黑"/>
          <w:color w:val="000000" w:themeColor="text1"/>
          <w:sz w:val="18"/>
          <w14:textFill>
            <w14:solidFill>
              <w14:schemeClr w14:val="tx1"/>
            </w14:solidFill>
          </w14:textFill>
        </w:rPr>
        <w:sectPr>
          <w:headerReference r:id="rId4" w:type="first"/>
          <w:headerReference r:id="rId3" w:type="default"/>
          <w:footerReference r:id="rId5" w:type="default"/>
          <w:pgSz w:w="11907" w:h="16840"/>
          <w:pgMar w:top="1134" w:right="1191" w:bottom="1134" w:left="1304" w:header="851" w:footer="992" w:gutter="0"/>
          <w:pgNumType w:start="0" w:chapStyle="1"/>
          <w:cols w:space="720" w:num="1"/>
          <w:titlePg/>
          <w:docGrid w:linePitch="381" w:charSpace="-5735"/>
        </w:sectPr>
      </w:pPr>
      <w:r>
        <w:rPr>
          <w:rFonts w:hint="eastAsia" w:ascii="微软雅黑" w:hAnsi="微软雅黑" w:eastAsia="微软雅黑" w:cs="微软雅黑"/>
          <w:color w:val="000000" w:themeColor="text1"/>
          <w:szCs w:val="21"/>
          <w14:textFill>
            <w14:solidFill>
              <w14:schemeClr w14:val="tx1"/>
            </w14:solidFill>
          </w14:textFill>
        </w:rPr>
        <w:fldChar w:fldCharType="end"/>
      </w:r>
    </w:p>
    <w:p>
      <w:pPr>
        <w:pStyle w:val="2"/>
        <w:pageBreakBefore w:val="0"/>
        <w:widowControl w:val="0"/>
        <w:kinsoku/>
        <w:wordWrap/>
        <w:overflowPunct/>
        <w:topLinePunct w:val="0"/>
        <w:autoSpaceDE/>
        <w:autoSpaceDN/>
        <w:bidi w:val="0"/>
        <w:adjustRightInd/>
        <w:spacing w:line="240" w:lineRule="auto"/>
        <w:ind w:firstLine="720" w:firstLineChars="200"/>
        <w:jc w:val="center"/>
        <w:textAlignment w:val="auto"/>
        <w:rPr>
          <w:rFonts w:hint="eastAsia" w:ascii="微软雅黑" w:hAnsi="微软雅黑" w:eastAsia="微软雅黑" w:cs="微软雅黑"/>
          <w:b/>
          <w:bCs/>
          <w:color w:val="000000" w:themeColor="text1"/>
          <w:sz w:val="36"/>
          <w:szCs w:val="36"/>
          <w14:textFill>
            <w14:solidFill>
              <w14:schemeClr w14:val="tx1"/>
            </w14:solidFill>
          </w14:textFill>
        </w:rPr>
      </w:pPr>
      <w:bookmarkStart w:id="0" w:name="_Toc3179"/>
      <w:bookmarkStart w:id="1" w:name="_Toc12789052"/>
      <w:bookmarkStart w:id="2" w:name="_Toc485108766"/>
      <w:bookmarkStart w:id="3" w:name="_Toc11641050"/>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8"/>
          <w:szCs w:val="20"/>
          <w14:textFill>
            <w14:solidFill>
              <w14:schemeClr w14:val="tx1"/>
            </w14:solidFill>
          </w14:textFill>
        </w:rPr>
      </w:pPr>
      <w:bookmarkStart w:id="4" w:name="_Toc373860293"/>
      <w:bookmarkStart w:id="5" w:name="_Toc317775178"/>
      <w:r>
        <w:rPr>
          <w:rFonts w:hint="eastAsia" w:ascii="微软雅黑" w:hAnsi="微软雅黑" w:eastAsia="微软雅黑" w:cs="微软雅黑"/>
          <w:color w:val="000000" w:themeColor="text1"/>
          <w:sz w:val="24"/>
          <w:szCs w:val="24"/>
          <w14:textFill>
            <w14:solidFill>
              <w14:schemeClr w14:val="tx1"/>
            </w14:solidFill>
          </w14:textFill>
        </w:rPr>
        <w:t>重庆医科大学附属永川医院对</w:t>
      </w:r>
      <w: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t>7座以上</w:t>
      </w:r>
      <w:r>
        <w:rPr>
          <w:rFonts w:hint="eastAsia" w:ascii="微软雅黑" w:hAnsi="微软雅黑" w:eastAsia="微软雅黑" w:cs="微软雅黑"/>
          <w:color w:val="000000" w:themeColor="text1"/>
          <w:sz w:val="24"/>
          <w:szCs w:val="24"/>
          <w:lang w:eastAsia="zh-CN"/>
          <w14:textFill>
            <w14:solidFill>
              <w14:schemeClr w14:val="tx1"/>
            </w14:solidFill>
          </w14:textFill>
        </w:rPr>
        <w:t>车辆租赁服务</w:t>
      </w:r>
      <w:r>
        <w:rPr>
          <w:rFonts w:hint="eastAsia" w:ascii="微软雅黑" w:hAnsi="微软雅黑" w:eastAsia="微软雅黑" w:cs="微软雅黑"/>
          <w:color w:val="000000" w:themeColor="text1"/>
          <w:sz w:val="24"/>
          <w:szCs w:val="24"/>
          <w14:textFill>
            <w14:solidFill>
              <w14:schemeClr w14:val="tx1"/>
            </w14:solidFill>
          </w14:textFill>
        </w:rPr>
        <w:t>项目进行院内比选采购。欢迎有资格、有实力的潜在供应商参加。</w:t>
      </w:r>
    </w:p>
    <w:p>
      <w:pPr>
        <w:pStyle w:val="3"/>
        <w:pageBreakBefore w:val="0"/>
        <w:widowControl w:val="0"/>
        <w:numPr>
          <w:ilvl w:val="0"/>
          <w:numId w:val="13"/>
        </w:numPr>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7775175"/>
      <w:bookmarkStart w:id="7" w:name="_Toc313893526"/>
      <w:bookmarkStart w:id="8" w:name="_Toc19546"/>
      <w:bookmarkStart w:id="9" w:name="_Toc485108767"/>
      <w:r>
        <w:rPr>
          <w:rFonts w:hint="eastAsia" w:ascii="微软雅黑" w:hAnsi="微软雅黑" w:eastAsia="微软雅黑" w:cs="微软雅黑"/>
          <w:color w:val="000000" w:themeColor="text1"/>
          <w:sz w:val="24"/>
          <w:szCs w:val="24"/>
          <w14:textFill>
            <w14:solidFill>
              <w14:schemeClr w14:val="tx1"/>
            </w14:solidFill>
          </w14:textFill>
        </w:rPr>
        <w:t>比选内容</w:t>
      </w:r>
      <w:bookmarkEnd w:id="6"/>
      <w:bookmarkEnd w:id="7"/>
      <w:bookmarkEnd w:id="8"/>
      <w:bookmarkEnd w:id="9"/>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3059"/>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59" w:type="dxa"/>
            <w:vAlign w:val="center"/>
          </w:tcPr>
          <w:p>
            <w:pPr>
              <w:numPr>
                <w:ilvl w:val="0"/>
                <w:numId w:val="0"/>
              </w:numPr>
              <w:jc w:val="left"/>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t>项目名称</w:t>
            </w:r>
          </w:p>
        </w:tc>
        <w:tc>
          <w:tcPr>
            <w:tcW w:w="3059" w:type="dxa"/>
            <w:vAlign w:val="center"/>
          </w:tcPr>
          <w:p>
            <w:pPr>
              <w:numPr>
                <w:ilvl w:val="0"/>
                <w:numId w:val="0"/>
              </w:numPr>
              <w:jc w:val="left"/>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t>成交供应商数量（名）</w:t>
            </w:r>
          </w:p>
        </w:tc>
        <w:tc>
          <w:tcPr>
            <w:tcW w:w="1567" w:type="dxa"/>
            <w:vAlign w:val="center"/>
          </w:tcPr>
          <w:p>
            <w:pPr>
              <w:numPr>
                <w:ilvl w:val="0"/>
                <w:numId w:val="0"/>
              </w:numPr>
              <w:jc w:val="left"/>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59" w:type="dxa"/>
            <w:vAlign w:val="center"/>
          </w:tcPr>
          <w:p>
            <w:pPr>
              <w:numPr>
                <w:ilvl w:val="0"/>
                <w:numId w:val="0"/>
              </w:numPr>
              <w:jc w:val="left"/>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t>7座以上</w:t>
            </w:r>
            <w:r>
              <w:rPr>
                <w:rFonts w:hint="eastAsia" w:ascii="微软雅黑" w:hAnsi="微软雅黑" w:eastAsia="微软雅黑" w:cs="微软雅黑"/>
                <w:color w:val="000000" w:themeColor="text1"/>
                <w:sz w:val="24"/>
                <w:szCs w:val="24"/>
                <w:vertAlign w:val="baseline"/>
                <w:lang w:eastAsia="zh-CN"/>
                <w14:textFill>
                  <w14:solidFill>
                    <w14:schemeClr w14:val="tx1"/>
                  </w14:solidFill>
                </w14:textFill>
              </w:rPr>
              <w:t>车辆租赁服务</w:t>
            </w:r>
          </w:p>
        </w:tc>
        <w:tc>
          <w:tcPr>
            <w:tcW w:w="3059" w:type="dxa"/>
            <w:vAlign w:val="center"/>
          </w:tcPr>
          <w:p>
            <w:pPr>
              <w:numPr>
                <w:ilvl w:val="0"/>
                <w:numId w:val="0"/>
              </w:numPr>
              <w:jc w:val="cente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t>1</w:t>
            </w:r>
          </w:p>
        </w:tc>
        <w:tc>
          <w:tcPr>
            <w:tcW w:w="1567" w:type="dxa"/>
            <w:vAlign w:val="center"/>
          </w:tcPr>
          <w:p>
            <w:pPr>
              <w:numPr>
                <w:ilvl w:val="0"/>
                <w:numId w:val="0"/>
              </w:numPr>
              <w:jc w:val="left"/>
              <w:rPr>
                <w:rFonts w:hint="eastAsia" w:ascii="微软雅黑" w:hAnsi="微软雅黑" w:eastAsia="微软雅黑" w:cs="微软雅黑"/>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85" w:type="dxa"/>
            <w:gridSpan w:val="3"/>
            <w:vAlign w:val="center"/>
          </w:tcPr>
          <w:p>
            <w:pPr>
              <w:numPr>
                <w:ilvl w:val="0"/>
                <w:numId w:val="0"/>
              </w:numPr>
              <w:jc w:val="left"/>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4"/>
                <w:szCs w:val="24"/>
                <w:vertAlign w:val="baseline"/>
                <w:lang w:val="en-US" w:eastAsia="zh-CN"/>
                <w14:textFill>
                  <w14:solidFill>
                    <w14:schemeClr w14:val="tx1"/>
                  </w14:solidFill>
                </w14:textFill>
              </w:rPr>
              <w:t>服务期限：三年</w:t>
            </w:r>
          </w:p>
        </w:tc>
      </w:tr>
    </w:tbl>
    <w:p>
      <w:pPr>
        <w:numPr>
          <w:ilvl w:val="0"/>
          <w:numId w:val="0"/>
        </w:numPr>
        <w:rPr>
          <w:rFonts w:hint="eastAsia" w:ascii="微软雅黑" w:hAnsi="微软雅黑" w:eastAsia="微软雅黑" w:cs="微软雅黑"/>
          <w:color w:val="000000" w:themeColor="text1"/>
          <w14:textFill>
            <w14:solidFill>
              <w14:schemeClr w14:val="tx1"/>
            </w14:solidFill>
          </w14:textFill>
        </w:rPr>
      </w:pPr>
    </w:p>
    <w:p>
      <w:pPr>
        <w:keepNext/>
        <w:keepLines/>
        <w:pageBreakBefore w:val="0"/>
        <w:widowControl w:val="0"/>
        <w:numPr>
          <w:ilvl w:val="0"/>
          <w:numId w:val="0"/>
        </w:numPr>
        <w:kinsoku/>
        <w:wordWrap/>
        <w:overflowPunct/>
        <w:topLinePunct w:val="0"/>
        <w:autoSpaceDE/>
        <w:autoSpaceDN/>
        <w:bidi w:val="0"/>
        <w:adjustRightInd/>
        <w:spacing w:line="240" w:lineRule="auto"/>
        <w:ind w:firstLine="480" w:firstLineChars="200"/>
        <w:textAlignment w:val="auto"/>
        <w:outlineLvl w:val="2"/>
        <w:rPr>
          <w:rFonts w:hint="eastAsia" w:ascii="微软雅黑" w:hAnsi="微软雅黑" w:eastAsia="微软雅黑" w:cs="微软雅黑"/>
          <w:color w:val="000000" w:themeColor="text1"/>
          <w:sz w:val="24"/>
          <w:szCs w:val="24"/>
          <w14:textFill>
            <w14:solidFill>
              <w14:schemeClr w14:val="tx1"/>
            </w14:solidFill>
          </w14:textFill>
        </w:rPr>
      </w:pPr>
      <w:bookmarkStart w:id="10" w:name="_Toc24334"/>
      <w:bookmarkStart w:id="11" w:name="_Toc485108768"/>
      <w:r>
        <w:rPr>
          <w:rStyle w:val="69"/>
          <w:rFonts w:hint="eastAsia" w:ascii="微软雅黑" w:hAnsi="微软雅黑" w:eastAsia="微软雅黑" w:cs="微软雅黑"/>
          <w:color w:val="000000" w:themeColor="text1"/>
          <w:sz w:val="24"/>
          <w:szCs w:val="24"/>
          <w:lang w:eastAsia="zh-CN"/>
          <w14:textFill>
            <w14:solidFill>
              <w14:schemeClr w14:val="tx1"/>
            </w14:solidFill>
          </w14:textFill>
        </w:rPr>
        <w:t>二、</w:t>
      </w:r>
      <w:r>
        <w:rPr>
          <w:rStyle w:val="69"/>
          <w:rFonts w:hint="eastAsia" w:ascii="微软雅黑" w:hAnsi="微软雅黑" w:eastAsia="微软雅黑" w:cs="微软雅黑"/>
          <w:color w:val="000000" w:themeColor="text1"/>
          <w:sz w:val="24"/>
          <w:szCs w:val="24"/>
          <w14:textFill>
            <w14:solidFill>
              <w14:schemeClr w14:val="tx1"/>
            </w14:solidFill>
          </w14:textFill>
        </w:rPr>
        <w:t>资金来源</w:t>
      </w:r>
      <w:bookmarkEnd w:id="10"/>
      <w:bookmarkEnd w:id="11"/>
      <w:r>
        <w:rPr>
          <w:rFonts w:hint="eastAsia" w:ascii="微软雅黑" w:hAnsi="微软雅黑" w:eastAsia="微软雅黑" w:cs="微软雅黑"/>
          <w:b/>
          <w:color w:val="000000" w:themeColor="text1"/>
          <w:sz w:val="24"/>
          <w:szCs w:val="24"/>
          <w14:textFill>
            <w14:solidFill>
              <w14:schemeClr w14:val="tx1"/>
            </w14:solidFill>
          </w14:textFill>
        </w:rPr>
        <w:t>：</w:t>
      </w:r>
      <w:bookmarkStart w:id="12" w:name="_Toc31105"/>
      <w:bookmarkStart w:id="13" w:name="_Toc3816"/>
      <w:r>
        <w:rPr>
          <w:rFonts w:hint="eastAsia" w:ascii="微软雅黑" w:hAnsi="微软雅黑" w:eastAsia="微软雅黑" w:cs="微软雅黑"/>
          <w:color w:val="000000" w:themeColor="text1"/>
          <w:sz w:val="24"/>
          <w:szCs w:val="24"/>
          <w14:textFill>
            <w14:solidFill>
              <w14:schemeClr w14:val="tx1"/>
            </w14:solidFill>
          </w14:textFill>
        </w:rPr>
        <w:t>医院自筹</w:t>
      </w:r>
      <w:bookmarkEnd w:id="12"/>
      <w:bookmarkEnd w:id="13"/>
      <w:bookmarkStart w:id="14" w:name="_Toc485108769"/>
    </w:p>
    <w:p>
      <w:pPr>
        <w:keepNext/>
        <w:keepLines/>
        <w:pageBreakBefore w:val="0"/>
        <w:widowControl w:val="0"/>
        <w:numPr>
          <w:ilvl w:val="0"/>
          <w:numId w:val="0"/>
        </w:numPr>
        <w:kinsoku/>
        <w:wordWrap/>
        <w:overflowPunct/>
        <w:topLinePunct w:val="0"/>
        <w:autoSpaceDE/>
        <w:autoSpaceDN/>
        <w:bidi w:val="0"/>
        <w:adjustRightInd/>
        <w:spacing w:line="240" w:lineRule="auto"/>
        <w:ind w:firstLine="480" w:firstLineChars="200"/>
        <w:textAlignment w:val="auto"/>
        <w:outlineLvl w:val="2"/>
        <w:rPr>
          <w:rFonts w:hint="eastAsia" w:ascii="微软雅黑" w:hAnsi="微软雅黑" w:eastAsia="微软雅黑" w:cs="微软雅黑"/>
          <w:b/>
          <w:color w:val="000000" w:themeColor="text1"/>
          <w:sz w:val="24"/>
          <w:szCs w:val="24"/>
          <w14:textFill>
            <w14:solidFill>
              <w14:schemeClr w14:val="tx1"/>
            </w14:solidFill>
          </w14:textFill>
        </w:rPr>
      </w:pPr>
      <w:bookmarkStart w:id="15" w:name="_Toc12831"/>
      <w:r>
        <w:rPr>
          <w:rStyle w:val="69"/>
          <w:rFonts w:hint="eastAsia" w:ascii="微软雅黑" w:hAnsi="微软雅黑" w:eastAsia="微软雅黑" w:cs="微软雅黑"/>
          <w:color w:val="000000" w:themeColor="text1"/>
          <w:sz w:val="24"/>
          <w:szCs w:val="24"/>
          <w14:textFill>
            <w14:solidFill>
              <w14:schemeClr w14:val="tx1"/>
            </w14:solidFill>
          </w14:textFill>
        </w:rPr>
        <w:t>三、</w:t>
      </w:r>
      <w:bookmarkEnd w:id="14"/>
      <w:r>
        <w:rPr>
          <w:rStyle w:val="69"/>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（一）基本资格条件</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6.法律、行政法规规定的其他条件。</w:t>
      </w:r>
    </w:p>
    <w:bookmarkEnd w:id="4"/>
    <w:bookmarkEnd w:id="5"/>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 w:name="_Toc6"/>
      <w:bookmarkStart w:id="17" w:name="_Toc102227313"/>
      <w:bookmarkStart w:id="18" w:name="_Toc485108774"/>
      <w:r>
        <w:rPr>
          <w:rFonts w:hint="eastAsia" w:ascii="微软雅黑" w:hAnsi="微软雅黑" w:eastAsia="微软雅黑" w:cs="微软雅黑"/>
          <w:color w:val="000000" w:themeColor="text1"/>
          <w:sz w:val="24"/>
          <w:szCs w:val="24"/>
          <w14:textFill>
            <w14:solidFill>
              <w14:schemeClr w14:val="tx1"/>
            </w14:solidFill>
          </w14:textFill>
        </w:rPr>
        <w:t>（二）特定资格条件</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三证合一营业执照（经营范围：城市公共交通，大中型汽车租赁经营等）、交通运输企业安全生产标准化建设道路旅客运输二级。</w:t>
      </w:r>
    </w:p>
    <w:p>
      <w:pPr>
        <w:keepNext/>
        <w:keepLines/>
        <w:pageBreakBefore w:val="0"/>
        <w:widowControl w:val="0"/>
        <w:tabs>
          <w:tab w:val="left" w:pos="6090"/>
        </w:tabs>
        <w:kinsoku/>
        <w:wordWrap/>
        <w:overflowPunct/>
        <w:topLinePunct w:val="0"/>
        <w:autoSpaceDE/>
        <w:autoSpaceDN/>
        <w:bidi w:val="0"/>
        <w:adjustRightInd/>
        <w:spacing w:line="240" w:lineRule="auto"/>
        <w:ind w:firstLine="480" w:firstLineChars="200"/>
        <w:textAlignment w:val="auto"/>
        <w:outlineLvl w:val="2"/>
        <w:rPr>
          <w:rFonts w:hint="eastAsia" w:ascii="微软雅黑" w:hAnsi="微软雅黑" w:eastAsia="微软雅黑" w:cs="微软雅黑"/>
          <w:b/>
          <w:color w:val="000000" w:themeColor="text1"/>
          <w:sz w:val="24"/>
          <w:szCs w:val="24"/>
          <w14:textFill>
            <w14:solidFill>
              <w14:schemeClr w14:val="tx1"/>
            </w14:solidFill>
          </w14:textFill>
        </w:rPr>
      </w:pPr>
      <w:bookmarkStart w:id="19" w:name="_Toc20308"/>
      <w:r>
        <w:rPr>
          <w:rStyle w:val="69"/>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9"/>
      <w:r>
        <w:rPr>
          <w:rFonts w:hint="eastAsia" w:ascii="微软雅黑" w:hAnsi="微软雅黑" w:eastAsia="微软雅黑" w:cs="微软雅黑"/>
          <w:b/>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（一）凡有意参加比选的供应商，请在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（二）比选公告期限：自采购公告发布之日（202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日）起三个工作日。</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（三）报名方式</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凡有意参加的供应商，请于202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z w:val="24"/>
          <w:szCs w:val="24"/>
          <w14:textFill>
            <w14:solidFill>
              <w14:schemeClr w14:val="tx1"/>
            </w14:solidFill>
          </w14:textFill>
        </w:rPr>
        <w:t>时至202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12</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0时（法定公休日、法定节假日除外）线上报名。</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线上报名方式：</w:t>
      </w:r>
      <w:r>
        <w:rPr>
          <w:rFonts w:hint="eastAsia" w:ascii="微软雅黑" w:hAnsi="微软雅黑" w:eastAsia="微软雅黑" w:cs="微软雅黑"/>
          <w:color w:val="000000" w:themeColor="text1"/>
          <w14:textFill>
            <w14:solidFill>
              <w14:schemeClr w14:val="tx1"/>
            </w14:solidFill>
          </w14:textFill>
        </w:rPr>
        <w:fldChar w:fldCharType="begin"/>
      </w:r>
      <w:r>
        <w:rPr>
          <w:rFonts w:hint="eastAsia" w:ascii="微软雅黑" w:hAnsi="微软雅黑" w:eastAsia="微软雅黑" w:cs="微软雅黑"/>
          <w:color w:val="000000" w:themeColor="text1"/>
          <w14:textFill>
            <w14:solidFill>
              <w14:schemeClr w14:val="tx1"/>
            </w14:solidFill>
          </w14:textFill>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rFonts w:hint="eastAsia" w:ascii="微软雅黑" w:hAnsi="微软雅黑" w:eastAsia="微软雅黑" w:cs="微软雅黑"/>
          <w:color w:val="000000" w:themeColor="text1"/>
          <w14:textFill>
            <w14:solidFill>
              <w14:schemeClr w14:val="tx1"/>
            </w14:solidFill>
          </w14:textFill>
        </w:rPr>
        <w:fldChar w:fldCharType="separate"/>
      </w:r>
      <w:r>
        <w:rPr>
          <w:rFonts w:hint="eastAsia" w:ascii="微软雅黑" w:hAnsi="微软雅黑" w:eastAsia="微软雅黑" w:cs="微软雅黑"/>
          <w:color w:val="000000" w:themeColor="text1"/>
          <w:sz w:val="24"/>
          <w:szCs w:val="24"/>
          <w14:textFill>
            <w14:solidFill>
              <w14:schemeClr w14:val="tx1"/>
            </w14:solidFill>
          </w14:textFill>
        </w:rPr>
        <w:t>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w:t>
      </w:r>
      <w:r>
        <w:rPr>
          <w:rFonts w:hint="eastAsia" w:ascii="微软雅黑" w:hAnsi="微软雅黑" w:eastAsia="微软雅黑" w:cs="微软雅黑"/>
          <w:color w:val="000000" w:themeColor="text1"/>
          <w:sz w:val="24"/>
          <w:szCs w:val="24"/>
          <w14:textFill>
            <w14:solidFill>
              <w14:schemeClr w14:val="tx1"/>
            </w14:solidFill>
          </w14:textFill>
        </w:rPr>
        <w:fldChar w:fldCharType="end"/>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微软雅黑" w:hAnsi="微软雅黑" w:eastAsia="微软雅黑" w:cs="微软雅黑"/>
          <w:color w:val="000000" w:themeColor="text1"/>
          <w:sz w:val="28"/>
          <w:szCs w:val="28"/>
          <w14:textFill>
            <w14:solidFill>
              <w14:schemeClr w14:val="tx1"/>
            </w14:solidFill>
          </w14:textFill>
        </w:rPr>
        <w:t>。</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1、按时递交了响应文件（重庆医科大学附属永川医院综合楼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w:t>
      </w:r>
    </w:p>
    <w:p>
      <w:pPr>
        <w:pageBreakBefore w:val="0"/>
        <w:widowControl w:val="0"/>
        <w:kinsoku/>
        <w:wordWrap/>
        <w:overflowPunct/>
        <w:topLinePunct w:val="0"/>
        <w:autoSpaceDE/>
        <w:autoSpaceDN/>
        <w:bidi w:val="0"/>
        <w:adjustRightInd/>
        <w:spacing w:line="240" w:lineRule="auto"/>
        <w:ind w:left="10" w:leftChars="5"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2、按时线上报名。</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（五）比选地点：重庆医科大学附属永川医院综合楼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楼会议室（地址：重庆市永川区萱花路439号）</w:t>
      </w:r>
    </w:p>
    <w:p>
      <w:pPr>
        <w:pageBreakBefore w:val="0"/>
        <w:widowControl w:val="0"/>
        <w:kinsoku/>
        <w:wordWrap/>
        <w:overflowPunct/>
        <w:topLinePunct w:val="0"/>
        <w:autoSpaceDE/>
        <w:autoSpaceDN/>
        <w:bidi w:val="0"/>
        <w:adjustRightInd/>
        <w:spacing w:line="240" w:lineRule="auto"/>
        <w:ind w:left="10" w:leftChars="5"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（六）响应文件递交开始时间：202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日北京时间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20" w:name="_Toc26538"/>
      <w:r>
        <w:rPr>
          <w:rFonts w:hint="eastAsia" w:ascii="微软雅黑" w:hAnsi="微软雅黑" w:eastAsia="微软雅黑" w:cs="微软雅黑"/>
          <w:color w:val="000000" w:themeColor="text1"/>
          <w:sz w:val="24"/>
          <w:szCs w:val="24"/>
          <w14:textFill>
            <w14:solidFill>
              <w14:schemeClr w14:val="tx1"/>
            </w14:solidFill>
          </w14:textFill>
        </w:rPr>
        <w:t>（七）响应文件递交截止时间：202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12</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20"/>
      <w:r>
        <w:rPr>
          <w:rFonts w:hint="eastAsia" w:ascii="微软雅黑" w:hAnsi="微软雅黑" w:eastAsia="微软雅黑" w:cs="微软雅黑"/>
          <w:color w:val="000000" w:themeColor="text1"/>
          <w:sz w:val="24"/>
          <w:szCs w:val="24"/>
          <w:lang w:val="en-US" w:eastAsia="zh-CN"/>
          <w14:textFill>
            <w14:solidFill>
              <w14:schemeClr w14:val="tx1"/>
            </w14:solidFill>
          </w14:textFill>
        </w:rPr>
        <w:t>16</w:t>
      </w:r>
      <w:bookmarkStart w:id="199" w:name="_GoBack"/>
      <w:bookmarkEnd w:id="199"/>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21" w:name="_Toc7033"/>
      <w:r>
        <w:rPr>
          <w:rFonts w:hint="eastAsia" w:ascii="微软雅黑" w:hAnsi="微软雅黑" w:eastAsia="微软雅黑" w:cs="微软雅黑"/>
          <w:color w:val="000000" w:themeColor="text1"/>
          <w:sz w:val="24"/>
          <w:szCs w:val="24"/>
          <w14:textFill>
            <w14:solidFill>
              <w14:schemeClr w14:val="tx1"/>
            </w14:solidFill>
          </w14:textFill>
        </w:rPr>
        <w:t>（八）比选开始时间：202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13</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21"/>
      <w:r>
        <w:rPr>
          <w:rFonts w:hint="eastAsia" w:ascii="微软雅黑" w:hAnsi="微软雅黑" w:eastAsia="微软雅黑" w:cs="微软雅黑"/>
          <w:color w:val="000000" w:themeColor="text1"/>
          <w:sz w:val="24"/>
          <w:szCs w:val="24"/>
          <w:lang w:val="en-US" w:eastAsia="zh-CN"/>
          <w14:textFill>
            <w14:solidFill>
              <w14:schemeClr w14:val="tx1"/>
            </w14:solidFill>
          </w14:textFill>
        </w:rPr>
        <w:t>9</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color w:val="000000" w:themeColor="text1"/>
          <w:sz w:val="24"/>
          <w:szCs w:val="24"/>
          <w14:textFill>
            <w14:solidFill>
              <w14:schemeClr w14:val="tx1"/>
            </w14:solidFill>
          </w14:textFill>
        </w:rPr>
        <w:t>0</w:t>
      </w:r>
    </w:p>
    <w:p>
      <w:pPr>
        <w:keepNext/>
        <w:keepLines/>
        <w:pageBreakBefore w:val="0"/>
        <w:widowControl w:val="0"/>
        <w:tabs>
          <w:tab w:val="left" w:pos="6090"/>
        </w:tabs>
        <w:kinsoku/>
        <w:wordWrap/>
        <w:overflowPunct/>
        <w:topLinePunct w:val="0"/>
        <w:autoSpaceDE/>
        <w:autoSpaceDN/>
        <w:bidi w:val="0"/>
        <w:adjustRightInd/>
        <w:spacing w:line="240" w:lineRule="auto"/>
        <w:ind w:firstLine="480" w:firstLineChars="200"/>
        <w:textAlignment w:val="auto"/>
        <w:outlineLvl w:val="2"/>
        <w:rPr>
          <w:rStyle w:val="69"/>
          <w:rFonts w:hint="eastAsia" w:ascii="微软雅黑" w:hAnsi="微软雅黑" w:eastAsia="微软雅黑" w:cs="微软雅黑"/>
          <w:color w:val="000000" w:themeColor="text1"/>
          <w:sz w:val="24"/>
          <w:szCs w:val="24"/>
          <w14:textFill>
            <w14:solidFill>
              <w14:schemeClr w14:val="tx1"/>
            </w14:solidFill>
          </w14:textFill>
        </w:rPr>
      </w:pPr>
      <w:bookmarkStart w:id="22" w:name="_Toc19627"/>
      <w:r>
        <w:rPr>
          <w:rStyle w:val="69"/>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Start w:id="23" w:name="_Toc54171062"/>
      <w:bookmarkStart w:id="24" w:name="_Toc54718176"/>
      <w:bookmarkStart w:id="25" w:name="_Toc373860294"/>
    </w:p>
    <w:bookmarkEnd w:id="22"/>
    <w:bookmarkEnd w:id="23"/>
    <w:bookmarkEnd w:id="24"/>
    <w:bookmarkEnd w:id="25"/>
    <w:p>
      <w:pPr>
        <w:keepNext/>
        <w:keepLines/>
        <w:pageBreakBefore w:val="0"/>
        <w:widowControl w:val="0"/>
        <w:tabs>
          <w:tab w:val="left" w:pos="6090"/>
        </w:tabs>
        <w:kinsoku/>
        <w:wordWrap/>
        <w:overflowPunct/>
        <w:topLinePunct w:val="0"/>
        <w:autoSpaceDE/>
        <w:autoSpaceDN/>
        <w:bidi w:val="0"/>
        <w:adjustRightInd/>
        <w:spacing w:line="240" w:lineRule="auto"/>
        <w:ind w:firstLine="480" w:firstLineChars="200"/>
        <w:textAlignment w:val="auto"/>
        <w:outlineLvl w:val="2"/>
        <w:rPr>
          <w:rStyle w:val="69"/>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19760"/>
      <w:r>
        <w:rPr>
          <w:rStyle w:val="69"/>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p>
    <w:bookmarkEnd w:id="27"/>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（一）单位负责人为同一人或者存在直接控股、管理关系的不同供应商，不得参加同一合同项（分包）下的政府采购活动，否则均为无效比选。</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（四）同一合同项（分包）下的货物，制造商参与比选的，不得再委托代理商参与比选。</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（六）未线上报名的，其响应文件恕不接收，超过响应文件截止时间递交的响应文件，恕不接收。</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（七）比选费用：无论比选结果如何，供应商参与本项目比选的所有费用均应由供应商自行承担。</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（八）本项目不接受联合体参与比选或不接受合同分包、转包。</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keepNext/>
        <w:keepLines/>
        <w:pageBreakBefore w:val="0"/>
        <w:widowControl w:val="0"/>
        <w:tabs>
          <w:tab w:val="left" w:pos="6090"/>
        </w:tabs>
        <w:kinsoku/>
        <w:wordWrap/>
        <w:overflowPunct/>
        <w:topLinePunct w:val="0"/>
        <w:autoSpaceDE/>
        <w:autoSpaceDN/>
        <w:bidi w:val="0"/>
        <w:adjustRightInd/>
        <w:spacing w:line="240" w:lineRule="auto"/>
        <w:ind w:firstLine="480" w:firstLineChars="200"/>
        <w:textAlignment w:val="auto"/>
        <w:outlineLvl w:val="2"/>
        <w:rPr>
          <w:rStyle w:val="69"/>
          <w:rFonts w:hint="eastAsia" w:ascii="微软雅黑" w:hAnsi="微软雅黑" w:eastAsia="微软雅黑" w:cs="微软雅黑"/>
          <w:color w:val="000000" w:themeColor="text1"/>
          <w:sz w:val="24"/>
          <w:szCs w:val="24"/>
          <w14:textFill>
            <w14:solidFill>
              <w14:schemeClr w14:val="tx1"/>
            </w14:solidFill>
          </w14:textFill>
        </w:rPr>
      </w:pPr>
      <w:bookmarkStart w:id="28" w:name="_Toc96605950"/>
      <w:bookmarkStart w:id="29" w:name="_Toc15282"/>
      <w:r>
        <w:rPr>
          <w:rStyle w:val="69"/>
          <w:rFonts w:hint="eastAsia" w:ascii="微软雅黑" w:hAnsi="微软雅黑" w:eastAsia="微软雅黑" w:cs="微软雅黑"/>
          <w:color w:val="000000" w:themeColor="text1"/>
          <w:sz w:val="24"/>
          <w:szCs w:val="24"/>
          <w14:textFill>
            <w14:solidFill>
              <w14:schemeClr w14:val="tx1"/>
            </w14:solidFill>
          </w14:textFill>
        </w:rPr>
        <w:t>七、防疫要求</w:t>
      </w:r>
      <w:bookmarkEnd w:id="28"/>
    </w:p>
    <w:bookmarkEnd w:id="29"/>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关于加强交易现场疫情防控工作的通知</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p>
    <w:p>
      <w:pPr>
        <w:keepNext/>
        <w:keepLines/>
        <w:pageBreakBefore w:val="0"/>
        <w:widowControl w:val="0"/>
        <w:tabs>
          <w:tab w:val="left" w:pos="6090"/>
        </w:tabs>
        <w:kinsoku/>
        <w:wordWrap/>
        <w:overflowPunct/>
        <w:topLinePunct w:val="0"/>
        <w:autoSpaceDE/>
        <w:autoSpaceDN/>
        <w:bidi w:val="0"/>
        <w:adjustRightInd/>
        <w:spacing w:line="240" w:lineRule="auto"/>
        <w:ind w:firstLine="480" w:firstLineChars="200"/>
        <w:textAlignment w:val="auto"/>
        <w:outlineLvl w:val="2"/>
        <w:rPr>
          <w:rStyle w:val="69"/>
          <w:rFonts w:hint="eastAsia" w:ascii="微软雅黑" w:hAnsi="微软雅黑" w:eastAsia="微软雅黑" w:cs="微软雅黑"/>
          <w:color w:val="000000" w:themeColor="text1"/>
          <w:sz w:val="24"/>
          <w:szCs w:val="24"/>
          <w14:textFill>
            <w14:solidFill>
              <w14:schemeClr w14:val="tx1"/>
            </w14:solidFill>
          </w14:textFill>
        </w:rPr>
      </w:pPr>
      <w:bookmarkStart w:id="30" w:name="_Toc31390"/>
      <w:bookmarkStart w:id="31" w:name="_Toc21226"/>
      <w:r>
        <w:rPr>
          <w:rStyle w:val="69"/>
          <w:rFonts w:hint="eastAsia" w:ascii="微软雅黑" w:hAnsi="微软雅黑" w:eastAsia="微软雅黑" w:cs="微软雅黑"/>
          <w:color w:val="000000" w:themeColor="text1"/>
          <w:sz w:val="24"/>
          <w:szCs w:val="24"/>
          <w14:textFill>
            <w14:solidFill>
              <w14:schemeClr w14:val="tx1"/>
            </w14:solidFill>
          </w14:textFill>
        </w:rPr>
        <w:t>八、联系方式</w:t>
      </w:r>
      <w:bookmarkEnd w:id="30"/>
    </w:p>
    <w:bookmarkEnd w:id="17"/>
    <w:bookmarkEnd w:id="18"/>
    <w:bookmarkEnd w:id="31"/>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32" w:name="_Toc31093"/>
      <w:r>
        <w:rPr>
          <w:rFonts w:hint="eastAsia" w:ascii="微软雅黑" w:hAnsi="微软雅黑" w:eastAsia="微软雅黑" w:cs="微软雅黑"/>
          <w:color w:val="000000" w:themeColor="text1"/>
          <w:sz w:val="24"/>
          <w:szCs w:val="24"/>
          <w14:textFill>
            <w14:solidFill>
              <w14:schemeClr w14:val="tx1"/>
            </w14:solidFill>
          </w14:textFill>
        </w:rPr>
        <w:t>采购人：重庆医科大学附属永川医院</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r>
        <w:rPr>
          <w:rFonts w:hint="eastAsia" w:ascii="微软雅黑" w:hAnsi="微软雅黑" w:eastAsia="微软雅黑" w:cs="微软雅黑"/>
          <w:color w:val="000000" w:themeColor="text1"/>
          <w:sz w:val="24"/>
          <w:szCs w:val="24"/>
          <w:lang w:eastAsia="zh-CN"/>
          <w14:textFill>
            <w14:solidFill>
              <w14:schemeClr w14:val="tx1"/>
            </w14:solidFill>
          </w14:textFill>
        </w:rPr>
        <w:t>潘</w:t>
      </w:r>
      <w:r>
        <w:rPr>
          <w:rFonts w:hint="eastAsia" w:ascii="微软雅黑" w:hAnsi="微软雅黑" w:eastAsia="微软雅黑" w:cs="微软雅黑"/>
          <w:color w:val="000000" w:themeColor="text1"/>
          <w:sz w:val="24"/>
          <w:szCs w:val="24"/>
          <w14:textFill>
            <w14:solidFill>
              <w14:schemeClr w14:val="tx1"/>
            </w14:solidFill>
          </w14:textFill>
        </w:rPr>
        <w:t>老师</w:t>
      </w:r>
      <w:r>
        <w:rPr>
          <w:rFonts w:hint="eastAsia" w:ascii="微软雅黑" w:hAnsi="微软雅黑" w:eastAsia="微软雅黑" w:cs="微软雅黑"/>
          <w:color w:val="000000" w:themeColor="text1"/>
          <w:sz w:val="24"/>
          <w:szCs w:val="24"/>
          <w:lang w:eastAsia="zh-CN"/>
          <w14:textFill>
            <w14:solidFill>
              <w14:schemeClr w14:val="tx1"/>
            </w14:solidFill>
          </w14:textFill>
        </w:rPr>
        <w:t>、邓老师</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电  话：（023）85385105  </w:t>
      </w:r>
    </w:p>
    <w:p>
      <w:pPr>
        <w:pageBreakBefore w:val="0"/>
        <w:widowControl w:val="0"/>
        <w:kinsoku/>
        <w:wordWrap/>
        <w:overflowPunct/>
        <w:topLinePunct w:val="0"/>
        <w:autoSpaceDE/>
        <w:autoSpaceDN/>
        <w:bidi w:val="0"/>
        <w:adjustRightInd/>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地  址： 重庆市永川区萱花路439号</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000000" w:themeColor="text1"/>
          <w:sz w:val="24"/>
          <w:szCs w:val="24"/>
          <w14:textFill>
            <w14:solidFill>
              <w14:schemeClr w14:val="tx1"/>
            </w14:solidFill>
          </w14:textFill>
        </w:rPr>
        <w:sectPr>
          <w:pgSz w:w="11907" w:h="16840"/>
          <w:pgMar w:top="1134" w:right="1418" w:bottom="1134" w:left="1418" w:header="964" w:footer="992" w:gutter="0"/>
          <w:cols w:space="720" w:num="1"/>
          <w:docGrid w:linePitch="312" w:charSpace="0"/>
        </w:sectPr>
      </w:pPr>
    </w:p>
    <w:p>
      <w:pPr>
        <w:pStyle w:val="2"/>
        <w:pageBreakBefore w:val="0"/>
        <w:widowControl w:val="0"/>
        <w:kinsoku/>
        <w:wordWrap/>
        <w:overflowPunct/>
        <w:topLinePunct w:val="0"/>
        <w:autoSpaceDE/>
        <w:autoSpaceDN/>
        <w:bidi w:val="0"/>
        <w:adjustRightInd/>
        <w:spacing w:line="240" w:lineRule="auto"/>
        <w:ind w:firstLine="720" w:firstLineChars="200"/>
        <w:jc w:val="center"/>
        <w:textAlignment w:val="auto"/>
        <w:rPr>
          <w:rFonts w:hint="eastAsia" w:ascii="微软雅黑" w:hAnsi="微软雅黑" w:eastAsia="微软雅黑" w:cs="微软雅黑"/>
          <w:b/>
          <w:bCs/>
          <w:color w:val="000000" w:themeColor="text1"/>
          <w:sz w:val="36"/>
          <w:szCs w:val="36"/>
          <w14:textFill>
            <w14:solidFill>
              <w14:schemeClr w14:val="tx1"/>
            </w14:solidFill>
          </w14:textFill>
        </w:rPr>
      </w:pPr>
      <w:bookmarkStart w:id="33" w:name="_Toc3123"/>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2"/>
      <w:bookmarkEnd w:id="33"/>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1838"/>
      <w:bookmarkStart w:id="35" w:name="_Toc11770"/>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4"/>
      <w:bookmarkEnd w:id="35"/>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pPr>
        <w:keepNext/>
        <w:keepLines/>
        <w:pageBreakBefore w:val="0"/>
        <w:widowControl w:val="0"/>
        <w:tabs>
          <w:tab w:val="left" w:pos="2640"/>
        </w:tabs>
        <w:kinsoku/>
        <w:wordWrap/>
        <w:overflowPunct/>
        <w:topLinePunct w:val="0"/>
        <w:autoSpaceDE/>
        <w:autoSpaceDN/>
        <w:bidi w:val="0"/>
        <w:adjustRightInd/>
        <w:spacing w:line="240" w:lineRule="auto"/>
        <w:ind w:firstLine="480" w:firstLineChars="200"/>
        <w:textAlignment w:val="auto"/>
        <w:outlineLvl w:val="2"/>
        <w:rPr>
          <w:rFonts w:hint="eastAsia" w:ascii="微软雅黑" w:hAnsi="微软雅黑" w:eastAsia="微软雅黑" w:cs="微软雅黑"/>
          <w:b/>
          <w:color w:val="000000" w:themeColor="text1"/>
          <w:sz w:val="24"/>
          <w:szCs w:val="24"/>
          <w14:textFill>
            <w14:solidFill>
              <w14:schemeClr w14:val="tx1"/>
            </w14:solidFill>
          </w14:textFill>
        </w:rPr>
      </w:pPr>
      <w:bookmarkStart w:id="36" w:name="_Toc10165"/>
      <w:bookmarkStart w:id="37" w:name="_Toc342913391"/>
      <w:bookmarkStart w:id="38" w:name="_Toc403569778"/>
      <w:bookmarkStart w:id="39" w:name="_Toc16498"/>
      <w:r>
        <w:rPr>
          <w:rStyle w:val="69"/>
          <w:rFonts w:hint="eastAsia" w:ascii="微软雅黑" w:hAnsi="微软雅黑" w:eastAsia="微软雅黑" w:cs="微软雅黑"/>
          <w:color w:val="000000" w:themeColor="text1"/>
          <w:sz w:val="24"/>
          <w:szCs w:val="24"/>
          <w14:textFill>
            <w14:solidFill>
              <w14:schemeClr w14:val="tx1"/>
            </w14:solidFill>
          </w14:textFill>
        </w:rPr>
        <w:t>二、比选文件</w:t>
      </w:r>
      <w:bookmarkEnd w:id="36"/>
      <w:bookmarkEnd w:id="37"/>
      <w:bookmarkEnd w:id="38"/>
      <w:bookmarkEnd w:id="39"/>
      <w:r>
        <w:rPr>
          <w:rFonts w:hint="eastAsia" w:ascii="微软雅黑" w:hAnsi="微软雅黑" w:eastAsia="微软雅黑" w:cs="微软雅黑"/>
          <w:b/>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（二）医院所作的一切有效的修改及补充，都是比选文件不可分割的部分。</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（三）比选文件的解释</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40" w:name="_Toc318166429"/>
      <w:bookmarkStart w:id="41" w:name="_Toc318159349"/>
      <w:bookmarkStart w:id="42" w:name="_Toc318159160"/>
      <w:bookmarkStart w:id="43" w:name="_Toc318159780"/>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bookmarkEnd w:id="40"/>
    <w:bookmarkEnd w:id="41"/>
    <w:bookmarkEnd w:id="42"/>
    <w:bookmarkEnd w:id="43"/>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79714297"/>
      <w:bookmarkStart w:id="45" w:name="_Toc403569779"/>
      <w:bookmarkStart w:id="46" w:name="_Toc102227318"/>
      <w:bookmarkStart w:id="47" w:name="_Toc28603"/>
      <w:bookmarkStart w:id="48" w:name="_Toc16272"/>
      <w:bookmarkStart w:id="49" w:name="_Toc342913392"/>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44"/>
      <w:bookmarkEnd w:id="45"/>
      <w:bookmarkEnd w:id="46"/>
      <w:bookmarkEnd w:id="47"/>
      <w:bookmarkEnd w:id="48"/>
      <w:bookmarkEnd w:id="49"/>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（一）响应文件</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1、响应文件组成</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2、本项目不接受联合体参与及合同分包、转包。</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3、比选有效期：响应文件及有关承诺文件有效期为比选开始时间起90天。</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（二）报价要求</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比选报价包含但不限于租车费、燃油费、过桥过路费、停车费、驾驶员劳务费、</w:t>
      </w:r>
      <w:r>
        <w:rPr>
          <w:rFonts w:hint="eastAsia" w:ascii="微软雅黑" w:hAnsi="微软雅黑" w:eastAsia="微软雅黑" w:cs="微软雅黑"/>
          <w:color w:val="000000" w:themeColor="text1"/>
          <w:sz w:val="24"/>
          <w:szCs w:val="24"/>
          <w:lang w:eastAsia="zh-CN"/>
          <w14:textFill>
            <w14:solidFill>
              <w14:schemeClr w14:val="tx1"/>
            </w14:solidFill>
          </w14:textFill>
        </w:rPr>
        <w:t>餐费、住宿费、</w:t>
      </w:r>
      <w:r>
        <w:rPr>
          <w:rFonts w:hint="eastAsia" w:ascii="微软雅黑" w:hAnsi="微软雅黑" w:eastAsia="微软雅黑" w:cs="微软雅黑"/>
          <w:color w:val="000000" w:themeColor="text1"/>
          <w:sz w:val="24"/>
          <w:szCs w:val="24"/>
          <w14:textFill>
            <w14:solidFill>
              <w14:schemeClr w14:val="tx1"/>
            </w14:solidFill>
          </w14:textFill>
        </w:rPr>
        <w:t>税费等</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以及成交供应商人工工资、奖金、福利、社保、管理、交通、运输、利润、税金、风险费等在内的所有费用。因成交供应商自身原因造成漏报、少报皆由其自行承担责任，采购人不再补偿。</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（三）修正错误</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（四）提交响应文件的份数和签署</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1.响应文件一式</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份，其中正本一份，副本三份；副本可为正本的复印件，应与正本一致，如出现不一致情况以正本为准。</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w:t>
      </w:r>
      <w:r>
        <w:rPr>
          <w:rFonts w:hint="eastAsia" w:ascii="微软雅黑" w:hAnsi="微软雅黑" w:eastAsia="微软雅黑" w:cs="微软雅黑"/>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trike/>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 邮寄、电报、电话、传真形式的响应文件概不接受。</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（五）响应文件的递交</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50" w:name="OLE_LINK9"/>
      <w:bookmarkStart w:id="51" w:name="OLE_LINK3"/>
      <w:bookmarkStart w:id="52" w:name="OLE_LINK8"/>
      <w:r>
        <w:rPr>
          <w:rFonts w:hint="eastAsia" w:ascii="微软雅黑" w:hAnsi="微软雅黑" w:eastAsia="微软雅黑" w:cs="微软雅黑"/>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2.响应文件投递截止时间：参阅比选邀请书。</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3.如果未按上述规定进行密封和标记，医院对响应文件误投、丢失或提前拆封不负责任。</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（六）响应文件语言：简体中文</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（七）供应商参与人员</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微软雅黑" w:hAnsi="微软雅黑" w:eastAsia="微软雅黑" w:cs="微软雅黑"/>
          <w:b/>
          <w:bCs/>
          <w:color w:val="000000" w:themeColor="text1"/>
          <w:sz w:val="24"/>
          <w14:textFill>
            <w14:solidFill>
              <w14:schemeClr w14:val="tx1"/>
            </w14:solidFill>
          </w14:textFill>
        </w:rPr>
        <w:t>法定代表人或授权代表应随身携带本人身份证原件。</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（八）无效比选</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供应商发生以下条款情况之一者，视为无效比选，应为无效响应：</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1.不符合规定的基本资格条件或特定资格条件；</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2.法定代表人或其授权代表未参加比选；</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3.响应文件不按规定签字、盖章；</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供应商的报价超过采购</w:t>
      </w:r>
      <w:r>
        <w:rPr>
          <w:rFonts w:hint="eastAsia" w:ascii="微软雅黑" w:hAnsi="微软雅黑" w:eastAsia="微软雅黑" w:cs="微软雅黑"/>
          <w:color w:val="000000" w:themeColor="text1"/>
          <w:sz w:val="24"/>
          <w:szCs w:val="24"/>
          <w:lang w:eastAsia="zh-CN"/>
          <w14:textFill>
            <w14:solidFill>
              <w14:schemeClr w14:val="tx1"/>
            </w14:solidFill>
          </w14:textFill>
        </w:rPr>
        <w:t>项目</w:t>
      </w:r>
      <w:r>
        <w:rPr>
          <w:rFonts w:hint="eastAsia" w:ascii="微软雅黑" w:hAnsi="微软雅黑" w:eastAsia="微软雅黑" w:cs="微软雅黑"/>
          <w:color w:val="000000" w:themeColor="text1"/>
          <w:sz w:val="24"/>
          <w:szCs w:val="24"/>
          <w14:textFill>
            <w14:solidFill>
              <w14:schemeClr w14:val="tx1"/>
            </w14:solidFill>
          </w14:textFill>
        </w:rPr>
        <w:t>总价限价或单价限价；</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供应商的最后报价超过采购预算；</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6.供应商响应文件内容有与国家现行法律法规相违背的内容，或附有采购人无法接受的条件。</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7、单位负责人为同一人或者存在直接控股、管理关系的不同供应商，参加同一合同项下政府采购活动的；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8、为采购项目提供整体设计、规范编制或者项目管理、监理、检测等服务的供应商再参加该采购项目的其他采购活动的；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9、同一合同项下的货物，制造商参与比选的，再委托代理商参与比选的；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10、供应商以联合体形式参与比选的；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50"/>
    <w:bookmarkEnd w:id="51"/>
    <w:bookmarkEnd w:id="52"/>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53" w:name="_Toc18122"/>
      <w:bookmarkStart w:id="54" w:name="_Toc102227319"/>
      <w:bookmarkStart w:id="55" w:name="_Toc1243"/>
      <w:bookmarkStart w:id="56" w:name="_Toc403569780"/>
      <w:bookmarkStart w:id="57" w:name="_Toc342913393"/>
      <w:bookmarkStart w:id="58" w:name="_Toc179714298"/>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53"/>
      <w:bookmarkEnd w:id="54"/>
      <w:bookmarkEnd w:id="55"/>
      <w:bookmarkEnd w:id="56"/>
      <w:bookmarkEnd w:id="57"/>
      <w:bookmarkEnd w:id="58"/>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（一）比选按比选文件规定的时间和地点进行。供应商须有法定代表人或其授权代表参加并签到。</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885" w:type="dxa"/>
            <w:gridSpan w:val="2"/>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检查因素</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060" w:type="dxa"/>
            <w:vMerge w:val="restart"/>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响应人应符合的基本资格条件</w:t>
            </w: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（1）具有独立承担民事责任的能力</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（2）</w:t>
            </w:r>
            <w:r>
              <w:rPr>
                <w:rFonts w:hint="eastAsia" w:ascii="微软雅黑" w:hAnsi="微软雅黑" w:eastAsia="微软雅黑" w:cs="微软雅黑"/>
                <w:color w:val="000000" w:themeColor="text1"/>
                <w:szCs w:val="21"/>
                <w14:textFill>
                  <w14:solidFill>
                    <w14:schemeClr w14:val="tx1"/>
                  </w14:solidFill>
                </w14:textFill>
              </w:rPr>
              <w:t>具有良好的商业信誉和健全的财务会计制度</w:t>
            </w:r>
          </w:p>
        </w:tc>
        <w:tc>
          <w:tcPr>
            <w:tcW w:w="4948" w:type="dxa"/>
            <w:vAlign w:val="center"/>
          </w:tcPr>
          <w:p>
            <w:pPr>
              <w:pageBreakBefore w:val="0"/>
              <w:widowControl w:val="0"/>
              <w:kinsoku/>
              <w:wordWrap/>
              <w:overflowPunct/>
              <w:topLinePunct w:val="0"/>
              <w:autoSpaceDE/>
              <w:autoSpaceDN/>
              <w:bidi w:val="0"/>
              <w:adjustRightInd/>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1.供应商提供2020或2021年度财务状况报告（表）或其基本开户银行出具的资信证明（提供复印件）。</w:t>
            </w:r>
          </w:p>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（4）有依法缴纳税收和社会保障金的良好记录</w:t>
            </w:r>
          </w:p>
        </w:tc>
        <w:tc>
          <w:tcPr>
            <w:tcW w:w="4948" w:type="dxa"/>
            <w:vAlign w:val="center"/>
          </w:tcPr>
          <w:p>
            <w:pPr>
              <w:pageBreakBefore w:val="0"/>
              <w:widowControl w:val="0"/>
              <w:kinsoku/>
              <w:wordWrap/>
              <w:overflowPunct/>
              <w:topLinePunct w:val="0"/>
              <w:autoSpaceDE/>
              <w:autoSpaceDN/>
              <w:bidi w:val="0"/>
              <w:adjustRightInd/>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1.税务登记证（副本）（提供复印件）。</w:t>
            </w:r>
          </w:p>
          <w:p>
            <w:pPr>
              <w:pageBreakBefore w:val="0"/>
              <w:widowControl w:val="0"/>
              <w:kinsoku/>
              <w:wordWrap/>
              <w:overflowPunct/>
              <w:topLinePunct w:val="0"/>
              <w:autoSpaceDE/>
              <w:autoSpaceDN/>
              <w:bidi w:val="0"/>
              <w:adjustRightInd/>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（5）参加采购活动前三年内，在经营活动中没有重大违法记录（注①）</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1.供应商提供书面声明（见格式文件）</w:t>
            </w:r>
          </w:p>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r>
              <w:rPr>
                <w:rFonts w:hint="eastAsia" w:ascii="微软雅黑" w:hAnsi="微软雅黑" w:eastAsia="微软雅黑" w:cs="微软雅黑"/>
                <w:b/>
                <w:color w:val="000000" w:themeColor="text1"/>
                <w:szCs w:val="21"/>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282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（6）法律、行政法规规定的其他条件</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3885" w:type="dxa"/>
            <w:gridSpan w:val="2"/>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特定资格条件</w:t>
            </w:r>
          </w:p>
        </w:tc>
        <w:tc>
          <w:tcPr>
            <w:tcW w:w="4948"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按“第一篇三、</w:t>
            </w:r>
            <w:r>
              <w:rPr>
                <w:rFonts w:hint="eastAsia" w:ascii="微软雅黑" w:hAnsi="微软雅黑" w:eastAsia="微软雅黑" w:cs="微软雅黑"/>
                <w:color w:val="000000" w:themeColor="text1"/>
                <w:sz w:val="24"/>
                <w:szCs w:val="24"/>
                <w14:textFill>
                  <w14:solidFill>
                    <w14:schemeClr w14:val="tx1"/>
                  </w14:solidFill>
                </w14:textFill>
              </w:rPr>
              <w:t>供应商资格要求</w:t>
            </w:r>
            <w:r>
              <w:rPr>
                <w:rFonts w:hint="eastAsia" w:ascii="微软雅黑" w:hAnsi="微软雅黑" w:eastAsia="微软雅黑" w:cs="微软雅黑"/>
                <w:color w:val="000000" w:themeColor="text1"/>
                <w:szCs w:val="21"/>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特定资格要求</w:t>
            </w:r>
            <w:r>
              <w:rPr>
                <w:rFonts w:hint="eastAsia" w:ascii="微软雅黑" w:hAnsi="微软雅黑" w:eastAsia="微软雅黑" w:cs="微软雅黑"/>
                <w:color w:val="000000" w:themeColor="text1"/>
                <w:szCs w:val="21"/>
                <w14:textFill>
                  <w14:solidFill>
                    <w14:schemeClr w14:val="tx1"/>
                  </w14:solidFill>
                </w14:textFill>
              </w:rPr>
              <w:t>的要求提交（如果有）。</w:t>
            </w:r>
          </w:p>
        </w:tc>
      </w:tr>
    </w:tbl>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注：</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②供应商应提供以下四张截图：信用中国--行政处罚；信用中国--失信惩戒；信用中国--重大税收违法案件当事人名单查询；中国政府采购网--政府采购严重违法失信行为信息记录（截图模板见第七篇后模板）。</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441" w:type="dxa"/>
            <w:gridSpan w:val="2"/>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评审因素</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457" w:type="dxa"/>
            <w:vMerge w:val="restart"/>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有效性审查</w:t>
            </w: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响应文件签署</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响应方案</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报价唯一</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只能在预算金额内报价，</w:t>
            </w:r>
            <w:r>
              <w:rPr>
                <w:rFonts w:hint="eastAsia" w:ascii="微软雅黑" w:hAnsi="微软雅黑" w:eastAsia="微软雅黑" w:cs="微软雅黑"/>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1457" w:type="dxa"/>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完整性审查</w:t>
            </w: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响应文件份数</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w:t>
            </w:r>
          </w:p>
        </w:tc>
        <w:tc>
          <w:tcPr>
            <w:tcW w:w="1457" w:type="dxa"/>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服务部分</w:t>
            </w: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w:t>
            </w:r>
          </w:p>
        </w:tc>
        <w:tc>
          <w:tcPr>
            <w:tcW w:w="1457" w:type="dxa"/>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商务部分</w:t>
            </w: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w:t>
            </w:r>
          </w:p>
        </w:tc>
        <w:tc>
          <w:tcPr>
            <w:tcW w:w="1457" w:type="dxa"/>
            <w:vAlign w:val="center"/>
          </w:tcPr>
          <w:p>
            <w:pPr>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响应有效期</w:t>
            </w:r>
          </w:p>
        </w:tc>
        <w:tc>
          <w:tcPr>
            <w:tcW w:w="1984"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有效期为响应截止日期后90天内</w:t>
            </w:r>
          </w:p>
        </w:tc>
      </w:tr>
    </w:tbl>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（五）在比选过程中比选的任何一方不得向他人透露与比选有关的技术资料、价格或其他信息。</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（七）供应商在比选时作出的所有书面承诺须由法定代表人或其授权代表签字。</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已提交响应文件但未在规定时间内进行最后报价的供应商，视为放弃最后报价，以供应商响应文件中的报价为准。</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59" w:name="_Toc403569781"/>
      <w:bookmarkStart w:id="60" w:name="_Toc31355"/>
      <w:bookmarkStart w:id="61" w:name="_Toc28776"/>
      <w:bookmarkStart w:id="62" w:name="_Toc102227320"/>
      <w:bookmarkStart w:id="63"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59"/>
      <w:bookmarkEnd w:id="60"/>
      <w:bookmarkEnd w:id="61"/>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403569782"/>
      <w:bookmarkStart w:id="65" w:name="_Toc29340"/>
      <w:bookmarkStart w:id="66" w:name="_Toc24771"/>
      <w:r>
        <w:rPr>
          <w:rFonts w:hint="eastAsia" w:ascii="微软雅黑" w:hAnsi="微软雅黑" w:eastAsia="微软雅黑" w:cs="微软雅黑"/>
          <w:color w:val="000000" w:themeColor="text1"/>
          <w:sz w:val="24"/>
          <w:szCs w:val="24"/>
          <w14:textFill>
            <w14:solidFill>
              <w14:schemeClr w14:val="tx1"/>
            </w14:solidFill>
          </w14:textFill>
        </w:rPr>
        <w:t>六、成交</w:t>
      </w:r>
      <w:bookmarkEnd w:id="62"/>
      <w:r>
        <w:rPr>
          <w:rFonts w:hint="eastAsia" w:ascii="微软雅黑" w:hAnsi="微软雅黑" w:eastAsia="微软雅黑" w:cs="微软雅黑"/>
          <w:color w:val="000000" w:themeColor="text1"/>
          <w:sz w:val="24"/>
          <w:szCs w:val="24"/>
          <w14:textFill>
            <w14:solidFill>
              <w14:schemeClr w14:val="tx1"/>
            </w14:solidFill>
          </w14:textFill>
        </w:rPr>
        <w:t>原则</w:t>
      </w:r>
      <w:bookmarkEnd w:id="63"/>
      <w:bookmarkEnd w:id="64"/>
      <w:bookmarkEnd w:id="65"/>
      <w:bookmarkEnd w:id="66"/>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（一）评审办法</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3.成交价格=成交供应商的最后报价</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（二）评审细则：</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资格符合性检查</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2.对响应文件的有效性、完整性和响应程度检查</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4.成交供应商的确定：</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（4）评审小组将依照评审办法提出3名以上成交候选人。</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w:t>
      </w:r>
      <w:r>
        <w:rPr>
          <w:rFonts w:hint="eastAsia" w:ascii="微软雅黑" w:hAnsi="微软雅黑" w:eastAsia="微软雅黑" w:cs="微软雅黑"/>
          <w:b/>
          <w:color w:val="000000" w:themeColor="text1"/>
          <w:sz w:val="24"/>
          <w:szCs w:val="24"/>
          <w14:textFill>
            <w14:solidFill>
              <w14:schemeClr w14:val="tx1"/>
            </w14:solidFill>
          </w14:textFill>
        </w:rPr>
        <w:t xml:space="preserve"> 采购终止</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（1）因情况变化，不再符合规定的比选采购方式适用情形的；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（3）在采购过程中符合竞争要求的供应商或者报价未超过采购预算的供应商不足3家的，但《医院采购管理办法（试行）》第二十三条第一款（五）规定的情形除外。</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67" w:name="_Toc403569783"/>
      <w:bookmarkStart w:id="68" w:name="_Toc3212"/>
      <w:bookmarkStart w:id="69" w:name="_Toc20830"/>
      <w:bookmarkStart w:id="70" w:name="_Toc342913395"/>
      <w:bookmarkStart w:id="71"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67"/>
      <w:bookmarkEnd w:id="68"/>
      <w:bookmarkEnd w:id="69"/>
      <w:bookmarkEnd w:id="70"/>
      <w:bookmarkEnd w:id="71"/>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1.成交供应商确定后，医院将在重庆医科大学附属永川医院官网发布成交结果公告，并仅对成交者发出电话通知，并发送采购结果通知书。</w:t>
      </w:r>
    </w:p>
    <w:p>
      <w:pPr>
        <w:keepNext/>
        <w:keepLines/>
        <w:pageBreakBefore w:val="0"/>
        <w:widowControl w:val="0"/>
        <w:kinsoku/>
        <w:wordWrap/>
        <w:overflowPunct/>
        <w:topLinePunct w:val="0"/>
        <w:autoSpaceDE/>
        <w:autoSpaceDN/>
        <w:bidi w:val="0"/>
        <w:adjustRightInd/>
        <w:spacing w:line="240" w:lineRule="auto"/>
        <w:ind w:firstLine="480" w:firstLineChars="200"/>
        <w:textAlignment w:val="auto"/>
        <w:outlineLvl w:val="2"/>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2" w:name="_Toc403569784"/>
      <w:bookmarkStart w:id="73" w:name="_Toc27236"/>
      <w:bookmarkStart w:id="74" w:name="_Toc17413"/>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72"/>
      <w:bookmarkEnd w:id="73"/>
      <w:bookmarkEnd w:id="74"/>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1、质疑时限、内容</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①供应商的姓名或者名称、地址、邮编、联系人及联系电话；</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②质疑项目的名称、项目编号；</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③具体、明确的质疑事项和与质疑事项相关的请求；</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④事实依据；</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⑤必要的法律依据；</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⑥提出质疑的日期；</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2、质疑答复</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（2）质疑函范本可在财政部门户网站和中国政府采购网下载。</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（三）投诉</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5" w:name="_Toc102227322"/>
      <w:bookmarkStart w:id="76" w:name="_Toc6381"/>
      <w:bookmarkStart w:id="77" w:name="_Toc342913396"/>
      <w:bookmarkStart w:id="78" w:name="_Toc403569785"/>
      <w:r>
        <w:rPr>
          <w:rFonts w:hint="eastAsia" w:ascii="微软雅黑" w:hAnsi="微软雅黑" w:eastAsia="微软雅黑" w:cs="微软雅黑"/>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9" w:name="_Toc8003"/>
      <w:r>
        <w:rPr>
          <w:rFonts w:hint="eastAsia" w:ascii="微软雅黑" w:hAnsi="微软雅黑" w:eastAsia="微软雅黑" w:cs="微软雅黑"/>
          <w:color w:val="000000" w:themeColor="text1"/>
          <w:sz w:val="24"/>
          <w:szCs w:val="24"/>
          <w14:textFill>
            <w14:solidFill>
              <w14:schemeClr w14:val="tx1"/>
            </w14:solidFill>
          </w14:textFill>
        </w:rPr>
        <w:t>九、签订</w:t>
      </w:r>
      <w:bookmarkEnd w:id="75"/>
      <w:r>
        <w:rPr>
          <w:rFonts w:hint="eastAsia" w:ascii="微软雅黑" w:hAnsi="微软雅黑" w:eastAsia="微软雅黑" w:cs="微软雅黑"/>
          <w:color w:val="000000" w:themeColor="text1"/>
          <w:sz w:val="24"/>
          <w:szCs w:val="24"/>
          <w14:textFill>
            <w14:solidFill>
              <w14:schemeClr w14:val="tx1"/>
            </w14:solidFill>
          </w14:textFill>
        </w:rPr>
        <w:t>合同</w:t>
      </w:r>
      <w:bookmarkEnd w:id="76"/>
      <w:bookmarkEnd w:id="77"/>
      <w:bookmarkEnd w:id="78"/>
      <w:bookmarkEnd w:id="79"/>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2、采购文件、成交供应商的响应文件及有效承诺文件等，均为签订合同的依据。</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3"/>
        <w:pageBreakBefore w:val="0"/>
        <w:widowControl w:val="0"/>
        <w:kinsoku/>
        <w:wordWrap/>
        <w:overflowPunct/>
        <w:topLinePunct w:val="0"/>
        <w:autoSpaceDE/>
        <w:autoSpaceDN/>
        <w:bidi w:val="0"/>
        <w:adjustRightInd/>
        <w:spacing w:before="0" w:after="0"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0" w:name="_Toc32645"/>
      <w:bookmarkStart w:id="81" w:name="_Toc29479"/>
      <w:bookmarkStart w:id="82" w:name="_Toc15659"/>
      <w:r>
        <w:rPr>
          <w:rFonts w:hint="eastAsia" w:ascii="微软雅黑" w:hAnsi="微软雅黑" w:eastAsia="微软雅黑" w:cs="微软雅黑"/>
          <w:color w:val="000000" w:themeColor="text1"/>
          <w:sz w:val="24"/>
          <w:szCs w:val="24"/>
          <w14:textFill>
            <w14:solidFill>
              <w14:schemeClr w14:val="tx1"/>
            </w14:solidFill>
          </w14:textFill>
        </w:rPr>
        <w:t>十、其他</w:t>
      </w:r>
      <w:bookmarkEnd w:id="80"/>
      <w:bookmarkEnd w:id="81"/>
      <w:bookmarkEnd w:id="82"/>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b/>
          <w:color w:val="000000" w:themeColor="text1"/>
          <w:sz w:val="24"/>
          <w:szCs w:val="24"/>
          <w14:textFill>
            <w14:solidFill>
              <w14:schemeClr w14:val="tx1"/>
            </w14:solidFill>
          </w14:textFill>
        </w:rPr>
      </w:pPr>
    </w:p>
    <w:p>
      <w:pPr>
        <w:keepNext/>
        <w:keepLines/>
        <w:pageBreakBefore w:val="0"/>
        <w:kinsoku/>
        <w:wordWrap/>
        <w:overflowPunct/>
        <w:topLinePunct w:val="0"/>
        <w:bidi w:val="0"/>
        <w:spacing w:line="240" w:lineRule="auto"/>
        <w:ind w:firstLine="720" w:firstLineChars="200"/>
        <w:jc w:val="center"/>
        <w:outlineLvl w:val="1"/>
        <w:rPr>
          <w:rFonts w:hint="eastAsia" w:ascii="微软雅黑" w:hAnsi="微软雅黑" w:eastAsia="微软雅黑" w:cs="微软雅黑"/>
          <w:color w:val="000000" w:themeColor="text1"/>
          <w:sz w:val="36"/>
          <w:szCs w:val="30"/>
          <w14:textFill>
            <w14:solidFill>
              <w14:schemeClr w14:val="tx1"/>
            </w14:solidFill>
          </w14:textFill>
        </w:rPr>
        <w:sectPr>
          <w:pgSz w:w="11907" w:h="16840"/>
          <w:pgMar w:top="1134" w:right="1191" w:bottom="1134" w:left="1304" w:header="964" w:footer="992" w:gutter="0"/>
          <w:cols w:space="720" w:num="1"/>
          <w:docGrid w:linePitch="312" w:charSpace="0"/>
        </w:sectPr>
      </w:pPr>
      <w:bookmarkStart w:id="83" w:name="_Toc485108784"/>
    </w:p>
    <w:p>
      <w:pPr>
        <w:pStyle w:val="2"/>
        <w:pageBreakBefore w:val="0"/>
        <w:kinsoku/>
        <w:wordWrap/>
        <w:overflowPunct/>
        <w:topLinePunct w:val="0"/>
        <w:bidi w:val="0"/>
        <w:spacing w:line="240" w:lineRule="auto"/>
        <w:ind w:firstLine="72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bookmarkStart w:id="84" w:name="_Toc9742"/>
      <w:r>
        <w:rPr>
          <w:rFonts w:hint="eastAsia" w:ascii="微软雅黑" w:hAnsi="微软雅黑" w:eastAsia="微软雅黑" w:cs="微软雅黑"/>
          <w:b/>
          <w:bCs/>
          <w:color w:val="000000" w:themeColor="text1"/>
          <w:sz w:val="36"/>
          <w:szCs w:val="36"/>
          <w14:textFill>
            <w14:solidFill>
              <w14:schemeClr w14:val="tx1"/>
            </w14:solidFill>
          </w14:textFill>
        </w:rPr>
        <w:t>第三篇  项目服务需求</w:t>
      </w:r>
      <w:bookmarkEnd w:id="83"/>
      <w:bookmarkEnd w:id="84"/>
    </w:p>
    <w:p>
      <w:pPr>
        <w:pStyle w:val="3"/>
        <w:pageBreakBefore w:val="0"/>
        <w:numPr>
          <w:ilvl w:val="0"/>
          <w:numId w:val="14"/>
        </w:numPr>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85" w:name="_Toc20661"/>
      <w:bookmarkStart w:id="86"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车辆租赁类型</w:t>
      </w:r>
      <w:r>
        <w:rPr>
          <w:rFonts w:hint="eastAsia" w:ascii="微软雅黑" w:hAnsi="微软雅黑" w:eastAsia="微软雅黑" w:cs="微软雅黑"/>
          <w:color w:val="000000" w:themeColor="text1"/>
          <w:sz w:val="24"/>
          <w:szCs w:val="24"/>
          <w14:textFill>
            <w14:solidFill>
              <w14:schemeClr w14:val="tx1"/>
            </w14:solidFill>
          </w14:textFill>
        </w:rPr>
        <w:t>表</w:t>
      </w:r>
      <w:bookmarkEnd w:id="85"/>
    </w:p>
    <w:tbl>
      <w:tblPr>
        <w:tblStyle w:val="58"/>
        <w:tblW w:w="9600" w:type="dxa"/>
        <w:jc w:val="center"/>
        <w:tblLayout w:type="fixed"/>
        <w:tblCellMar>
          <w:top w:w="0" w:type="dxa"/>
          <w:left w:w="108" w:type="dxa"/>
          <w:bottom w:w="0" w:type="dxa"/>
          <w:right w:w="108" w:type="dxa"/>
        </w:tblCellMar>
      </w:tblPr>
      <w:tblGrid>
        <w:gridCol w:w="2406"/>
        <w:gridCol w:w="1475"/>
        <w:gridCol w:w="1490"/>
        <w:gridCol w:w="1490"/>
        <w:gridCol w:w="1579"/>
        <w:gridCol w:w="1160"/>
      </w:tblGrid>
      <w:tr>
        <w:tblPrEx>
          <w:tblCellMar>
            <w:top w:w="0" w:type="dxa"/>
            <w:left w:w="108" w:type="dxa"/>
            <w:bottom w:w="0" w:type="dxa"/>
            <w:right w:w="108" w:type="dxa"/>
          </w:tblCellMar>
        </w:tblPrEx>
        <w:trPr>
          <w:trHeight w:val="573" w:hRule="atLeast"/>
          <w:jc w:val="center"/>
        </w:trPr>
        <w:tc>
          <w:tcPr>
            <w:tcW w:w="24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目的地</w:t>
            </w:r>
          </w:p>
        </w:tc>
        <w:tc>
          <w:tcPr>
            <w:tcW w:w="14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车型（座）</w:t>
            </w:r>
          </w:p>
        </w:tc>
        <w:tc>
          <w:tcPr>
            <w:tcW w:w="14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单程（元/趟）</w:t>
            </w:r>
          </w:p>
        </w:tc>
        <w:tc>
          <w:tcPr>
            <w:tcW w:w="14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往返（元</w:t>
            </w:r>
            <w:r>
              <w:rPr>
                <w:color w:val="000000" w:themeColor="text1"/>
                <w:sz w:val="22"/>
                <w14:textFill>
                  <w14:solidFill>
                    <w14:schemeClr w14:val="tx1"/>
                  </w14:solidFill>
                </w14:textFill>
              </w:rPr>
              <w:t>/趟）</w:t>
            </w:r>
          </w:p>
        </w:tc>
        <w:tc>
          <w:tcPr>
            <w:tcW w:w="15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放空（元</w:t>
            </w:r>
            <w:r>
              <w:rPr>
                <w:color w:val="000000" w:themeColor="text1"/>
                <w:sz w:val="22"/>
                <w14:textFill>
                  <w14:solidFill>
                    <w14:schemeClr w14:val="tx1"/>
                  </w14:solidFill>
                </w14:textFill>
              </w:rPr>
              <w:t>/趟）</w:t>
            </w:r>
          </w:p>
        </w:tc>
        <w:tc>
          <w:tcPr>
            <w:tcW w:w="11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w:t>
            </w:r>
          </w:p>
        </w:tc>
      </w:tr>
      <w:tr>
        <w:tblPrEx>
          <w:tblCellMar>
            <w:top w:w="0" w:type="dxa"/>
            <w:left w:w="108" w:type="dxa"/>
            <w:bottom w:w="0" w:type="dxa"/>
            <w:right w:w="108" w:type="dxa"/>
          </w:tblCellMar>
        </w:tblPrEx>
        <w:trPr>
          <w:trHeight w:val="390" w:hRule="atLeast"/>
          <w:jc w:val="center"/>
        </w:trPr>
        <w:tc>
          <w:tcPr>
            <w:tcW w:w="2406" w:type="dxa"/>
            <w:vMerge w:val="restart"/>
            <w:tcBorders>
              <w:top w:val="nil"/>
              <w:left w:val="single" w:color="auto" w:sz="4" w:space="0"/>
              <w:bottom w:val="nil"/>
              <w:right w:val="single" w:color="auto" w:sz="4" w:space="0"/>
            </w:tcBorders>
            <w:shd w:val="clear" w:color="auto" w:fill="auto"/>
            <w:noWrap/>
            <w:vAlign w:val="center"/>
          </w:tcPr>
          <w:p>
            <w:pPr>
              <w:widowControl/>
              <w:jc w:val="center"/>
              <w:rPr>
                <w:rFonts w:hint="eastAsia"/>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校本部</w:t>
            </w:r>
          </w:p>
          <w:p>
            <w:pPr>
              <w:widowControl/>
              <w:jc w:val="center"/>
              <w:rPr>
                <w:rFonts w:hint="eastAsia" w:eastAsiaTheme="minorEastAsia"/>
                <w:color w:val="000000" w:themeColor="text1"/>
                <w:sz w:val="22"/>
                <w:lang w:val="en-US" w:eastAsia="zh-CN"/>
                <w14:textFill>
                  <w14:solidFill>
                    <w14:schemeClr w14:val="tx1"/>
                  </w14:solidFill>
                </w14:textFill>
              </w:rPr>
            </w:pPr>
            <w:r>
              <w:rPr>
                <w:rFonts w:hint="eastAsia"/>
                <w:color w:val="000000" w:themeColor="text1"/>
                <w:sz w:val="22"/>
                <w:lang w:eastAsia="zh-CN"/>
                <w14:textFill>
                  <w14:solidFill>
                    <w14:schemeClr w14:val="tx1"/>
                  </w14:solidFill>
                </w14:textFill>
              </w:rPr>
              <w:t>（袁家岗）</w:t>
            </w: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nil"/>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nil"/>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restart"/>
            <w:tcBorders>
              <w:top w:val="single" w:color="auto" w:sz="4" w:space="0"/>
              <w:left w:val="single" w:color="auto" w:sz="4" w:space="0"/>
              <w:bottom w:val="nil"/>
              <w:right w:val="single" w:color="auto" w:sz="4" w:space="0"/>
            </w:tcBorders>
            <w:shd w:val="clear" w:color="auto" w:fill="auto"/>
            <w:noWrap/>
            <w:vAlign w:val="center"/>
          </w:tcPr>
          <w:p>
            <w:pPr>
              <w:widowControl/>
              <w:jc w:val="center"/>
              <w:rPr>
                <w:rFonts w:hint="eastAsia"/>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大学城校区</w:t>
            </w:r>
          </w:p>
          <w:p>
            <w:pPr>
              <w:widowControl/>
              <w:jc w:val="center"/>
              <w:rPr>
                <w:rFonts w:hint="eastAsia" w:eastAsiaTheme="minorEastAsia"/>
                <w:color w:val="000000" w:themeColor="text1"/>
                <w:sz w:val="22"/>
                <w:lang w:eastAsia="zh-CN"/>
                <w14:textFill>
                  <w14:solidFill>
                    <w14:schemeClr w14:val="tx1"/>
                  </w14:solidFill>
                </w14:textFill>
              </w:rPr>
            </w:pPr>
            <w:r>
              <w:rPr>
                <w:rFonts w:hint="eastAsia"/>
                <w:color w:val="000000" w:themeColor="text1"/>
                <w:sz w:val="22"/>
                <w:lang w:eastAsia="zh-CN"/>
                <w14:textFill>
                  <w14:solidFill>
                    <w14:schemeClr w14:val="tx1"/>
                  </w14:solidFill>
                </w14:textFill>
              </w:rPr>
              <w:t>（缙云校区）</w:t>
            </w: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restart"/>
            <w:tcBorders>
              <w:top w:val="single" w:color="auto" w:sz="4" w:space="0"/>
              <w:left w:val="single" w:color="auto" w:sz="4" w:space="0"/>
              <w:bottom w:val="nil"/>
              <w:right w:val="single" w:color="auto" w:sz="4" w:space="0"/>
            </w:tcBorders>
            <w:shd w:val="clear" w:color="auto" w:fill="auto"/>
            <w:noWrap/>
            <w:vAlign w:val="center"/>
          </w:tcPr>
          <w:p>
            <w:pPr>
              <w:widowControl/>
              <w:jc w:val="center"/>
              <w:rPr>
                <w:rFonts w:hint="eastAsia" w:eastAsiaTheme="minorEastAsia"/>
                <w:color w:val="000000" w:themeColor="text1"/>
                <w:sz w:val="22"/>
                <w:lang w:eastAsia="zh-CN"/>
                <w14:textFill>
                  <w14:solidFill>
                    <w14:schemeClr w14:val="tx1"/>
                  </w14:solidFill>
                </w14:textFill>
              </w:rPr>
            </w:pPr>
            <w:r>
              <w:rPr>
                <w:rFonts w:hint="eastAsia"/>
                <w:color w:val="000000" w:themeColor="text1"/>
                <w:sz w:val="22"/>
                <w14:textFill>
                  <w14:solidFill>
                    <w14:schemeClr w14:val="tx1"/>
                  </w14:solidFill>
                </w14:textFill>
              </w:rPr>
              <w:t>重庆6院</w:t>
            </w:r>
            <w:r>
              <w:rPr>
                <w:rFonts w:hint="eastAsia"/>
                <w:color w:val="000000" w:themeColor="text1"/>
                <w:sz w:val="22"/>
                <w:lang w:eastAsia="zh-CN"/>
                <w14:textFill>
                  <w14:solidFill>
                    <w14:schemeClr w14:val="tx1"/>
                  </w14:solidFill>
                </w14:textFill>
              </w:rPr>
              <w:t>（南坪）</w:t>
            </w: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restart"/>
            <w:tcBorders>
              <w:top w:val="single" w:color="auto" w:sz="4" w:space="0"/>
              <w:left w:val="single" w:color="auto" w:sz="4" w:space="0"/>
              <w:bottom w:val="nil"/>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永川城区内</w:t>
            </w: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三教、朱沱、松溉、何埂</w:t>
            </w: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nil"/>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宝峰、金龙、仙龙、五间、吉安、临江、陈食、青峰、大安</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r>
        <w:tblPrEx>
          <w:tblCellMar>
            <w:top w:w="0" w:type="dxa"/>
            <w:left w:w="108" w:type="dxa"/>
            <w:bottom w:w="0" w:type="dxa"/>
            <w:right w:w="108" w:type="dxa"/>
          </w:tblCellMar>
        </w:tblPrEx>
        <w:trPr>
          <w:trHeight w:val="390" w:hRule="atLeast"/>
          <w:jc w:val="center"/>
        </w:trPr>
        <w:tc>
          <w:tcPr>
            <w:tcW w:w="24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2"/>
                <w14:textFill>
                  <w14:solidFill>
                    <w14:schemeClr w14:val="tx1"/>
                  </w14:solidFill>
                </w14:textFill>
              </w:rPr>
            </w:pP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w:t>
            </w: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49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　</w:t>
            </w:r>
          </w:p>
        </w:tc>
      </w:tr>
    </w:tbl>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87" w:name="_Toc485108786"/>
      <w:bookmarkStart w:id="88" w:name="_Toc22890"/>
      <w:r>
        <w:rPr>
          <w:rFonts w:hint="eastAsia" w:ascii="微软雅黑" w:hAnsi="微软雅黑" w:eastAsia="微软雅黑" w:cs="微软雅黑"/>
          <w:color w:val="000000" w:themeColor="text1"/>
          <w:sz w:val="24"/>
          <w:szCs w:val="24"/>
          <w14:textFill>
            <w14:solidFill>
              <w14:schemeClr w14:val="tx1"/>
            </w14:solidFill>
          </w14:textFill>
        </w:rPr>
        <w:t>二、</w:t>
      </w:r>
      <w:bookmarkEnd w:id="87"/>
      <w:r>
        <w:rPr>
          <w:rFonts w:hint="eastAsia" w:ascii="微软雅黑" w:hAnsi="微软雅黑" w:eastAsia="微软雅黑" w:cs="微软雅黑"/>
          <w:color w:val="000000" w:themeColor="text1"/>
          <w:sz w:val="24"/>
          <w:szCs w:val="24"/>
          <w:lang w:eastAsia="zh-CN"/>
          <w14:textFill>
            <w14:solidFill>
              <w14:schemeClr w14:val="tx1"/>
            </w14:solidFill>
          </w14:textFill>
        </w:rPr>
        <w:t>服务要求</w:t>
      </w:r>
      <w:bookmarkEnd w:id="88"/>
    </w:p>
    <w:p>
      <w:pPr>
        <w:pStyle w:val="209"/>
        <w:spacing w:line="500" w:lineRule="exact"/>
        <w:ind w:firstLine="480" w:firstLineChars="200"/>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1、响应方在永川区内具有服务点，配备了足量的人员和车辆，并同时具有采购方所需的车辆租赁类型。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响应方</w:t>
      </w:r>
      <w:r>
        <w:rPr>
          <w:rFonts w:hint="eastAsia" w:ascii="微软雅黑" w:hAnsi="微软雅黑" w:eastAsia="微软雅黑" w:cs="微软雅黑"/>
          <w:color w:val="000000" w:themeColor="text1"/>
          <w:sz w:val="24"/>
          <w:szCs w:val="24"/>
          <w14:textFill>
            <w14:solidFill>
              <w14:schemeClr w14:val="tx1"/>
            </w14:solidFill>
          </w14:textFill>
        </w:rPr>
        <w:t>提供符合要求且技术状况良好的租赁车辆及该车辆行驶必备的法定证件，保证随车配件齐全,车内须备有随车工具、备胎、灭火器等。并按规定购买机动车辆相关保险(包括车辆损失险、第三者责任险、承运人责任险(驾驶员、乘客)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、租车车型为青年尼奥普兰/安凯/宇通等中级以上豪华大巴，车辆安全设备齐全、完好并配备冷暖空调、车载电视及其他设备，车容车貌整洁，箱内干净卫生。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方车辆驾驶员应持有合法有效的中国大陆交管部门核发的并按要求审验的机动车驾驶证，须有5年安全驾驶经历，且在5年内未发生过重大交通安全事故。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z w:val="24"/>
          <w:szCs w:val="24"/>
          <w14:textFill>
            <w14:solidFill>
              <w14:schemeClr w14:val="tx1"/>
            </w14:solidFill>
          </w14:textFill>
        </w:rPr>
        <w:t>、驾驶人员在驾驶过程中须遵守交通及其相关法律法规，不违章、超速及违规操作。车辆行驶经过、到达地气候情况、社会情况必须符合车辆安全通行条件。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6</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方驾驶员不得将车辆交给其他人员驾驶。</w:t>
      </w:r>
    </w:p>
    <w:p>
      <w:pPr>
        <w:keepNext/>
        <w:keepLines/>
        <w:pageBreakBefore w:val="0"/>
        <w:kinsoku/>
        <w:wordWrap/>
        <w:overflowPunct/>
        <w:topLinePunct w:val="0"/>
        <w:bidi w:val="0"/>
        <w:spacing w:line="240" w:lineRule="auto"/>
        <w:jc w:val="both"/>
        <w:outlineLvl w:val="1"/>
        <w:rPr>
          <w:rFonts w:hint="eastAsia" w:ascii="微软雅黑" w:hAnsi="微软雅黑" w:eastAsia="微软雅黑" w:cs="微软雅黑"/>
          <w:color w:val="000000" w:themeColor="text1"/>
          <w:sz w:val="36"/>
          <w:szCs w:val="30"/>
          <w14:textFill>
            <w14:solidFill>
              <w14:schemeClr w14:val="tx1"/>
            </w14:solidFill>
          </w14:textFill>
        </w:rPr>
        <w:sectPr>
          <w:pgSz w:w="11907" w:h="16840"/>
          <w:pgMar w:top="1134" w:right="1191" w:bottom="1134" w:left="1304" w:header="964" w:footer="992" w:gutter="0"/>
          <w:cols w:space="720" w:num="1"/>
          <w:docGrid w:linePitch="312" w:charSpace="0"/>
        </w:sectPr>
      </w:pPr>
      <w:bookmarkStart w:id="89" w:name="_Toc485108787"/>
    </w:p>
    <w:p>
      <w:pPr>
        <w:pStyle w:val="2"/>
        <w:pageBreakBefore w:val="0"/>
        <w:kinsoku/>
        <w:wordWrap/>
        <w:overflowPunct/>
        <w:topLinePunct w:val="0"/>
        <w:bidi w:val="0"/>
        <w:spacing w:line="240" w:lineRule="auto"/>
        <w:ind w:firstLine="720" w:firstLineChars="200"/>
        <w:jc w:val="center"/>
        <w:rPr>
          <w:rFonts w:hint="eastAsia" w:ascii="微软雅黑" w:hAnsi="微软雅黑" w:eastAsia="微软雅黑" w:cs="微软雅黑"/>
          <w:color w:val="000000" w:themeColor="text1"/>
          <w:sz w:val="36"/>
          <w:szCs w:val="36"/>
          <w14:textFill>
            <w14:solidFill>
              <w14:schemeClr w14:val="tx1"/>
            </w14:solidFill>
          </w14:textFill>
        </w:rPr>
      </w:pPr>
      <w:bookmarkStart w:id="90" w:name="_Toc15102"/>
      <w:r>
        <w:rPr>
          <w:rFonts w:hint="eastAsia" w:ascii="微软雅黑" w:hAnsi="微软雅黑" w:eastAsia="微软雅黑" w:cs="微软雅黑"/>
          <w:b/>
          <w:bCs/>
          <w:color w:val="000000" w:themeColor="text1"/>
          <w:sz w:val="36"/>
          <w:szCs w:val="36"/>
          <w14:textFill>
            <w14:solidFill>
              <w14:schemeClr w14:val="tx1"/>
            </w14:solidFill>
          </w14:textFill>
        </w:rPr>
        <w:t>第四篇  项目商务需求</w:t>
      </w:r>
      <w:bookmarkEnd w:id="86"/>
      <w:bookmarkEnd w:id="89"/>
      <w:bookmarkEnd w:id="90"/>
      <w:bookmarkStart w:id="91" w:name="_Toc12789059"/>
      <w:bookmarkStart w:id="92" w:name="_Toc11641055"/>
    </w:p>
    <w:p>
      <w:pPr>
        <w:pStyle w:val="209"/>
        <w:pageBreakBefore w:val="0"/>
        <w:kinsoku/>
        <w:wordWrap/>
        <w:overflowPunct/>
        <w:topLinePunct w:val="0"/>
        <w:bidi w:val="0"/>
        <w:adjustRightInd w:val="0"/>
        <w:spacing w:line="240" w:lineRule="auto"/>
        <w:ind w:firstLine="480" w:firstLineChars="200"/>
        <w:rPr>
          <w:rStyle w:val="69"/>
          <w:rFonts w:hint="eastAsia" w:ascii="微软雅黑" w:hAnsi="微软雅黑" w:eastAsia="微软雅黑" w:cs="微软雅黑"/>
          <w:color w:val="000000" w:themeColor="text1"/>
          <w:sz w:val="24"/>
          <w:szCs w:val="24"/>
          <w14:textFill>
            <w14:solidFill>
              <w14:schemeClr w14:val="tx1"/>
            </w14:solidFill>
          </w14:textFill>
        </w:rPr>
      </w:pPr>
      <w:bookmarkStart w:id="93" w:name="_Toc8729"/>
      <w:bookmarkStart w:id="94" w:name="_Toc344475121"/>
      <w:r>
        <w:rPr>
          <w:rStyle w:val="69"/>
          <w:rFonts w:hint="eastAsia" w:ascii="微软雅黑" w:hAnsi="微软雅黑" w:eastAsia="微软雅黑" w:cs="微软雅黑"/>
          <w:color w:val="000000" w:themeColor="text1"/>
          <w:sz w:val="24"/>
          <w:szCs w:val="24"/>
          <w14:textFill>
            <w14:solidFill>
              <w14:schemeClr w14:val="tx1"/>
            </w14:solidFill>
          </w14:textFill>
        </w:rPr>
        <w:t>一、服务期限</w:t>
      </w:r>
    </w:p>
    <w:bookmarkEnd w:id="93"/>
    <w:p>
      <w:pPr>
        <w:pStyle w:val="209"/>
        <w:keepNext w:val="0"/>
        <w:keepLines w:val="0"/>
        <w:pageBreakBefore w:val="0"/>
        <w:widowControl w:val="0"/>
        <w:kinsoku/>
        <w:wordWrap/>
        <w:overflowPunct/>
        <w:topLinePunct w:val="0"/>
        <w:autoSpaceDE w:val="0"/>
        <w:autoSpaceDN w:val="0"/>
        <w:bidi w:val="0"/>
        <w:snapToGrid/>
        <w:spacing w:line="240" w:lineRule="auto"/>
        <w:ind w:firstLine="480" w:firstLineChars="200"/>
        <w:textAlignment w:val="auto"/>
        <w:rPr>
          <w:rFonts w:hint="default"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服务期限：3年。</w:t>
      </w:r>
    </w:p>
    <w:bookmarkEnd w:id="94"/>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b/>
          <w:color w:val="000000" w:themeColor="text1"/>
          <w:szCs w:val="24"/>
          <w14:textFill>
            <w14:solidFill>
              <w14:schemeClr w14:val="tx1"/>
            </w14:solidFill>
          </w14:textFill>
        </w:rPr>
      </w:pPr>
      <w:bookmarkStart w:id="95" w:name="_Toc485108790"/>
      <w:bookmarkStart w:id="96" w:name="_Toc3187"/>
      <w:bookmarkStart w:id="97" w:name="_Toc344475122"/>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95"/>
      <w:bookmarkEnd w:id="96"/>
      <w:bookmarkEnd w:id="97"/>
    </w:p>
    <w:p>
      <w:pPr>
        <w:pStyle w:val="209"/>
        <w:keepNext w:val="0"/>
        <w:keepLines w:val="0"/>
        <w:pageBreakBefore w:val="0"/>
        <w:widowControl w:val="0"/>
        <w:kinsoku/>
        <w:wordWrap/>
        <w:overflowPunct/>
        <w:topLinePunct w:val="0"/>
        <w:autoSpaceDE w:val="0"/>
        <w:autoSpaceDN w:val="0"/>
        <w:bidi w:val="0"/>
        <w:snapToGrid/>
        <w:spacing w:line="240" w:lineRule="auto"/>
        <w:ind w:firstLine="480" w:firstLineChars="200"/>
        <w:jc w:val="left"/>
        <w:textAlignment w:val="auto"/>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bookmarkStart w:id="98" w:name="_Toc485108791"/>
      <w:bookmarkStart w:id="99" w:name="_Toc403569793"/>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（一）采购方如有租赁需要，提前向服务方发出用车通知。每次用车双方应在用车结束后签署《重庆医科大学附属永川医院车辆租赁确认单》（格式详见附件二），并以此作为结算依据。</w:t>
      </w:r>
    </w:p>
    <w:p>
      <w:pPr>
        <w:pStyle w:val="209"/>
        <w:keepNext w:val="0"/>
        <w:keepLines w:val="0"/>
        <w:pageBreakBefore w:val="0"/>
        <w:widowControl w:val="0"/>
        <w:kinsoku/>
        <w:wordWrap/>
        <w:overflowPunct/>
        <w:topLinePunct w:val="0"/>
        <w:autoSpaceDE w:val="0"/>
        <w:autoSpaceDN w:val="0"/>
        <w:bidi w:val="0"/>
        <w:snapToGrid/>
        <w:spacing w:line="240" w:lineRule="auto"/>
        <w:ind w:firstLine="480" w:firstLineChars="200"/>
        <w:jc w:val="left"/>
        <w:textAlignment w:val="auto"/>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（二）服务方应于每月5日前将上月的用车明细和《重庆医科大学附属永川医院车辆租赁确认单》交给采购方车管部门（遇到法定节假日时，延长至工作日上班第一天），采购方车管部门应于5日内核对确认。</w:t>
      </w:r>
    </w:p>
    <w:p>
      <w:pPr>
        <w:pStyle w:val="209"/>
        <w:keepNext w:val="0"/>
        <w:keepLines w:val="0"/>
        <w:pageBreakBefore w:val="0"/>
        <w:widowControl w:val="0"/>
        <w:kinsoku/>
        <w:wordWrap/>
        <w:overflowPunct/>
        <w:topLinePunct w:val="0"/>
        <w:autoSpaceDE w:val="0"/>
        <w:autoSpaceDN w:val="0"/>
        <w:bidi w:val="0"/>
        <w:snapToGrid/>
        <w:spacing w:line="240" w:lineRule="auto"/>
        <w:ind w:firstLine="480" w:firstLineChars="200"/>
        <w:jc w:val="left"/>
        <w:textAlignment w:val="auto"/>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（三）服务方自采购方确认后开具合法发票(包含但不限于租车费、燃油费、过桥过路费、停车费、驾驶员劳务费、税费等)。</w:t>
      </w:r>
    </w:p>
    <w:p>
      <w:pPr>
        <w:pStyle w:val="209"/>
        <w:keepNext w:val="0"/>
        <w:keepLines w:val="0"/>
        <w:pageBreakBefore w:val="0"/>
        <w:widowControl w:val="0"/>
        <w:kinsoku/>
        <w:wordWrap/>
        <w:overflowPunct/>
        <w:topLinePunct w:val="0"/>
        <w:autoSpaceDE w:val="0"/>
        <w:autoSpaceDN w:val="0"/>
        <w:bidi w:val="0"/>
        <w:snapToGrid/>
        <w:spacing w:line="240" w:lineRule="auto"/>
        <w:ind w:firstLine="480" w:firstLineChars="200"/>
        <w:jc w:val="left"/>
        <w:textAlignment w:val="auto"/>
        <w:rPr>
          <w:rFonts w:ascii="仿宋" w:hAnsi="仿宋" w:eastAsia="仿宋"/>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（四）采购方自收到发票后60日内支付租赁费用。</w:t>
      </w:r>
    </w:p>
    <w:bookmarkEnd w:id="98"/>
    <w:bookmarkEnd w:id="99"/>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0" w:name="_Toc25812"/>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、其他</w:t>
      </w:r>
      <w:bookmarkEnd w:id="100"/>
    </w:p>
    <w:p>
      <w:pPr>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（一）供应商必须在响应文件中对以上条款和服务承诺明确列出，承诺内容必须达到本篇及询价文件其他条款的要求。</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（二）其他未尽事宜由供需双方在采购合同中详细约定，供应商在响应文件中所承诺的所有经济、技术和商务条款都要纳入成交合同中。</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如供应商因违反或不履行响应时承诺的商务和技术要求时，医院保留对技术指标进行验证的权利，发现供应商及原生产厂家提供虚假参数的，医院有权按照相关法律法规的规定，取消违反询价文件约定的成交人成交资格，以及按医院采购制度对其进行处罚。</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成交供应商应保证所提供的产品和服务整体功能的实现。如发生以下情况，医院有权取消其成交资格：1、如放弃成交项目或在签订合时擅自改变成交状态的；2、所提供的产品和服务在功能、参数等方面未满足</w:t>
      </w:r>
      <w:r>
        <w:rPr>
          <w:rFonts w:hint="eastAsia" w:ascii="微软雅黑" w:hAnsi="微软雅黑" w:eastAsia="微软雅黑" w:cs="微软雅黑"/>
          <w:color w:val="000000" w:themeColor="text1"/>
          <w:sz w:val="24"/>
          <w:szCs w:val="24"/>
          <w:lang w:eastAsia="zh-CN"/>
          <w14:textFill>
            <w14:solidFill>
              <w14:schemeClr w14:val="tx1"/>
            </w14:solidFill>
          </w14:textFill>
        </w:rPr>
        <w:t>询价</w:t>
      </w:r>
      <w:r>
        <w:rPr>
          <w:rFonts w:hint="eastAsia" w:ascii="微软雅黑" w:hAnsi="微软雅黑" w:eastAsia="微软雅黑" w:cs="微软雅黑"/>
          <w:color w:val="000000" w:themeColor="text1"/>
          <w:sz w:val="24"/>
          <w:szCs w:val="24"/>
          <w14:textFill>
            <w14:solidFill>
              <w14:schemeClr w14:val="tx1"/>
            </w14:solidFill>
          </w14:textFill>
        </w:rPr>
        <w:t>文件及相关承诺的；3、证实提交了相关虚假文件的。发生上述情况，医院除申请取消其成交资格同时，有权退货及终止合同，成交供应商一切损失自行承担。同时成交供应商违约按本项目“第</w:t>
      </w:r>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篇 合同草案条款”中违约责任条款支付违约金。</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（五）询价文件、成交供应商的报价文件及有效承诺文件等，均为签订合同的依据，是合同不可分割的一部分。</w:t>
      </w:r>
    </w:p>
    <w:p>
      <w:pPr>
        <w:pStyle w:val="2"/>
        <w:pageBreakBefore w:val="0"/>
        <w:numPr>
          <w:ilvl w:val="0"/>
          <w:numId w:val="0"/>
        </w:numPr>
        <w:kinsoku/>
        <w:wordWrap/>
        <w:overflowPunct/>
        <w:topLinePunct w:val="0"/>
        <w:bidi w:val="0"/>
        <w:spacing w:line="240" w:lineRule="auto"/>
        <w:ind w:firstLine="720" w:firstLineChars="200"/>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b/>
          <w:color w:val="000000" w:themeColor="text1"/>
          <w:sz w:val="36"/>
          <w:szCs w:val="30"/>
          <w14:textFill>
            <w14:solidFill>
              <w14:schemeClr w14:val="tx1"/>
            </w14:solidFill>
          </w14:textFill>
        </w:rPr>
        <w:br w:type="page"/>
      </w:r>
      <w:bookmarkEnd w:id="91"/>
      <w:bookmarkEnd w:id="92"/>
      <w:bookmarkStart w:id="101" w:name="_Toc29204"/>
      <w:bookmarkStart w:id="102" w:name="_Toc54718201"/>
      <w:r>
        <w:rPr>
          <w:rFonts w:hint="eastAsia" w:ascii="微软雅黑" w:hAnsi="微软雅黑" w:eastAsia="微软雅黑" w:cs="微软雅黑"/>
          <w:b/>
          <w:bCs/>
          <w:color w:val="000000" w:themeColor="text1"/>
          <w:kern w:val="2"/>
          <w:sz w:val="36"/>
          <w:szCs w:val="36"/>
          <w:lang w:val="en-US" w:eastAsia="zh-CN" w:bidi="ar-SA"/>
          <w14:textFill>
            <w14:solidFill>
              <w14:schemeClr w14:val="tx1"/>
            </w14:solidFill>
          </w14:textFill>
        </w:rPr>
        <w:t>第五篇 合同草案条款</w:t>
      </w:r>
      <w:bookmarkEnd w:id="101"/>
      <w:bookmarkEnd w:id="102"/>
    </w:p>
    <w:p>
      <w:pPr>
        <w:pageBreakBefore w:val="0"/>
        <w:kinsoku/>
        <w:wordWrap/>
        <w:overflowPunct/>
        <w:topLinePunct w:val="0"/>
        <w:bidi w:val="0"/>
        <w:spacing w:line="240" w:lineRule="auto"/>
        <w:ind w:firstLine="420" w:firstLineChars="200"/>
        <w:rPr>
          <w:rFonts w:hint="eastAsia" w:ascii="微软雅黑" w:hAnsi="微软雅黑" w:eastAsia="微软雅黑" w:cs="微软雅黑"/>
          <w:color w:val="000000" w:themeColor="text1"/>
          <w14:textFill>
            <w14:solidFill>
              <w14:schemeClr w14:val="tx1"/>
            </w14:solidFill>
          </w14:textFill>
        </w:rPr>
      </w:pPr>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3" w:name="_Toc12573"/>
      <w:bookmarkStart w:id="104"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103"/>
      <w:bookmarkEnd w:id="104"/>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5" w:name="_Toc988"/>
      <w:r>
        <w:rPr>
          <w:rFonts w:hint="eastAsia" w:ascii="微软雅黑" w:hAnsi="微软雅黑" w:eastAsia="微软雅黑" w:cs="微软雅黑"/>
          <w:color w:val="000000" w:themeColor="text1"/>
          <w:sz w:val="24"/>
          <w:szCs w:val="24"/>
          <w14:textFill>
            <w14:solidFill>
              <w14:schemeClr w14:val="tx1"/>
            </w14:solidFill>
          </w14:textFill>
        </w:rPr>
        <w:t>（一）甲方（需方）即重庆医科大学附属永川医院。</w:t>
      </w:r>
      <w:bookmarkEnd w:id="105"/>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6" w:name="_Toc22662"/>
      <w:r>
        <w:rPr>
          <w:rFonts w:hint="eastAsia" w:ascii="微软雅黑" w:hAnsi="微软雅黑" w:eastAsia="微软雅黑" w:cs="微软雅黑"/>
          <w:color w:val="000000" w:themeColor="text1"/>
          <w:sz w:val="24"/>
          <w:szCs w:val="24"/>
          <w14:textFill>
            <w14:solidFill>
              <w14:schemeClr w14:val="tx1"/>
            </w14:solidFill>
          </w14:textFill>
        </w:rPr>
        <w:t>（二）乙方（供方）即成交供应商，是指成交后提供合同货物和服务的自然人、法人及其他组织。</w:t>
      </w:r>
      <w:bookmarkEnd w:id="106"/>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7" w:name="_Toc30025"/>
      <w:r>
        <w:rPr>
          <w:rFonts w:hint="eastAsia" w:ascii="微软雅黑" w:hAnsi="微软雅黑" w:eastAsia="微软雅黑" w:cs="微软雅黑"/>
          <w:color w:val="000000" w:themeColor="text1"/>
          <w:sz w:val="24"/>
          <w:szCs w:val="24"/>
          <w14:textFill>
            <w14:solidFill>
              <w14:schemeClr w14:val="tx1"/>
            </w14:solidFill>
          </w14:textFill>
        </w:rPr>
        <w:t>（三）合同是指由甲乙双方按照</w:t>
      </w:r>
      <w:r>
        <w:rPr>
          <w:rFonts w:hint="eastAsia" w:ascii="微软雅黑" w:hAnsi="微软雅黑" w:eastAsia="微软雅黑" w:cs="微软雅黑"/>
          <w:color w:val="000000" w:themeColor="text1"/>
          <w:sz w:val="24"/>
          <w:szCs w:val="24"/>
          <w:lang w:eastAsia="zh-CN"/>
          <w14:textFill>
            <w14:solidFill>
              <w14:schemeClr w14:val="tx1"/>
            </w14:solidFill>
          </w14:textFill>
        </w:rPr>
        <w:t>询价</w:t>
      </w:r>
      <w:r>
        <w:rPr>
          <w:rFonts w:hint="eastAsia" w:ascii="微软雅黑" w:hAnsi="微软雅黑" w:eastAsia="微软雅黑" w:cs="微软雅黑"/>
          <w:color w:val="000000" w:themeColor="text1"/>
          <w:sz w:val="24"/>
          <w:szCs w:val="24"/>
          <w14:textFill>
            <w14:solidFill>
              <w14:schemeClr w14:val="tx1"/>
            </w14:solidFill>
          </w14:textFill>
        </w:rPr>
        <w:t>文件和响应文件的实质性内容，通过协商一致达成的书面协议。</w:t>
      </w:r>
      <w:bookmarkEnd w:id="107"/>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8" w:name="_Toc2152"/>
      <w:r>
        <w:rPr>
          <w:rFonts w:hint="eastAsia" w:ascii="微软雅黑" w:hAnsi="微软雅黑" w:eastAsia="微软雅黑" w:cs="微软雅黑"/>
          <w:color w:val="000000" w:themeColor="text1"/>
          <w:sz w:val="24"/>
          <w:szCs w:val="24"/>
          <w14:textFill>
            <w14:solidFill>
              <w14:schemeClr w14:val="tx1"/>
            </w14:solidFill>
          </w14:textFill>
        </w:rPr>
        <w:t>（四）合同价格指以成交价格为依据，在供方全面履行合同义务后，需方应支付给供方的金额。</w:t>
      </w:r>
      <w:bookmarkEnd w:id="108"/>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09" w:name="_Toc6981"/>
      <w:bookmarkStart w:id="110" w:name="_Toc17047"/>
      <w:bookmarkStart w:id="111" w:name="_Toc2445"/>
      <w:bookmarkStart w:id="112" w:name="_Toc28039"/>
      <w:bookmarkStart w:id="113" w:name="_Toc467"/>
      <w:bookmarkStart w:id="114" w:name="_Toc54718205"/>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109"/>
      <w:bookmarkEnd w:id="110"/>
      <w:bookmarkEnd w:id="111"/>
      <w:bookmarkEnd w:id="112"/>
      <w:bookmarkEnd w:id="113"/>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15" w:name="_Toc28967"/>
      <w:bookmarkStart w:id="116" w:name="_Toc54718204"/>
      <w:r>
        <w:rPr>
          <w:rFonts w:hint="eastAsia" w:ascii="微软雅黑" w:hAnsi="微软雅黑" w:eastAsia="微软雅黑" w:cs="微软雅黑"/>
          <w:color w:val="000000" w:themeColor="text1"/>
          <w:sz w:val="24"/>
          <w:szCs w:val="24"/>
          <w14:textFill>
            <w14:solidFill>
              <w14:schemeClr w14:val="tx1"/>
            </w14:solidFill>
          </w14:textFill>
        </w:rPr>
        <w:t>合同包括以下内容：</w:t>
      </w:r>
      <w:r>
        <w:rPr>
          <w:rFonts w:hint="eastAsia" w:ascii="微软雅黑" w:hAnsi="微软雅黑" w:eastAsia="微软雅黑" w:cs="微软雅黑"/>
          <w:color w:val="000000" w:themeColor="text1"/>
          <w:sz w:val="24"/>
          <w:szCs w:val="24"/>
          <w:lang w:eastAsia="zh-CN"/>
          <w14:textFill>
            <w14:solidFill>
              <w14:schemeClr w14:val="tx1"/>
            </w14:solidFill>
          </w14:textFill>
        </w:rPr>
        <w:t>项目</w:t>
      </w:r>
      <w:r>
        <w:rPr>
          <w:rFonts w:hint="eastAsia" w:ascii="微软雅黑" w:hAnsi="微软雅黑" w:eastAsia="微软雅黑" w:cs="微软雅黑"/>
          <w:color w:val="000000" w:themeColor="text1"/>
          <w:sz w:val="24"/>
          <w:szCs w:val="24"/>
          <w14:textFill>
            <w14:solidFill>
              <w14:schemeClr w14:val="tx1"/>
            </w14:solidFill>
          </w14:textFill>
        </w:rPr>
        <w:t>名称、</w:t>
      </w:r>
      <w:r>
        <w:rPr>
          <w:rFonts w:hint="eastAsia" w:ascii="微软雅黑" w:hAnsi="微软雅黑" w:eastAsia="微软雅黑" w:cs="微软雅黑"/>
          <w:color w:val="000000" w:themeColor="text1"/>
          <w:sz w:val="24"/>
          <w:szCs w:val="24"/>
          <w:lang w:eastAsia="zh-CN"/>
          <w14:textFill>
            <w14:solidFill>
              <w14:schemeClr w14:val="tx1"/>
            </w14:solidFill>
          </w14:textFill>
        </w:rPr>
        <w:t>项目内容</w:t>
      </w:r>
      <w:r>
        <w:rPr>
          <w:rFonts w:hint="eastAsia" w:ascii="微软雅黑" w:hAnsi="微软雅黑" w:eastAsia="微软雅黑" w:cs="微软雅黑"/>
          <w:color w:val="000000" w:themeColor="text1"/>
          <w:sz w:val="24"/>
          <w:szCs w:val="24"/>
          <w14:textFill>
            <w14:solidFill>
              <w14:schemeClr w14:val="tx1"/>
            </w14:solidFill>
          </w14:textFill>
        </w:rPr>
        <w:t>、技术参数、</w:t>
      </w:r>
      <w:r>
        <w:rPr>
          <w:rFonts w:hint="eastAsia" w:ascii="微软雅黑" w:hAnsi="微软雅黑" w:eastAsia="微软雅黑" w:cs="微软雅黑"/>
          <w:color w:val="000000" w:themeColor="text1"/>
          <w:sz w:val="24"/>
          <w:szCs w:val="24"/>
          <w:lang w:eastAsia="zh-CN"/>
          <w14:textFill>
            <w14:solidFill>
              <w14:schemeClr w14:val="tx1"/>
            </w14:solidFill>
          </w14:textFill>
        </w:rPr>
        <w:t>权利和义务</w:t>
      </w:r>
      <w:r>
        <w:rPr>
          <w:rFonts w:hint="eastAsia" w:ascii="微软雅黑" w:hAnsi="微软雅黑" w:eastAsia="微软雅黑" w:cs="微软雅黑"/>
          <w:color w:val="000000" w:themeColor="text1"/>
          <w:sz w:val="24"/>
          <w:szCs w:val="24"/>
          <w14:textFill>
            <w14:solidFill>
              <w14:schemeClr w14:val="tx1"/>
            </w14:solidFill>
          </w14:textFill>
        </w:rPr>
        <w:t>等内容。</w:t>
      </w:r>
      <w:bookmarkEnd w:id="115"/>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17" w:name="_Toc9441"/>
      <w:bookmarkStart w:id="118" w:name="_Toc7667"/>
      <w:bookmarkStart w:id="119" w:name="_Toc30380"/>
      <w:bookmarkStart w:id="120" w:name="_Toc18592"/>
      <w:bookmarkStart w:id="121" w:name="_Toc24498"/>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116"/>
      <w:bookmarkEnd w:id="117"/>
      <w:bookmarkEnd w:id="118"/>
      <w:bookmarkEnd w:id="119"/>
      <w:bookmarkEnd w:id="120"/>
      <w:bookmarkEnd w:id="121"/>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为服务项目</w:t>
      </w:r>
      <w:r>
        <w:rPr>
          <w:rFonts w:hint="eastAsia" w:ascii="微软雅黑" w:hAnsi="微软雅黑" w:eastAsia="微软雅黑" w:cs="微软雅黑"/>
          <w:color w:val="000000" w:themeColor="text1"/>
          <w:sz w:val="24"/>
          <w:szCs w:val="24"/>
          <w14:textFill>
            <w14:solidFill>
              <w14:schemeClr w14:val="tx1"/>
            </w14:solidFill>
          </w14:textFill>
        </w:rPr>
        <w:t>单价</w:t>
      </w:r>
      <w:r>
        <w:rPr>
          <w:rFonts w:hint="eastAsia" w:ascii="微软雅黑" w:hAnsi="微软雅黑" w:eastAsia="微软雅黑" w:cs="微软雅黑"/>
          <w:color w:val="000000" w:themeColor="text1"/>
          <w:sz w:val="24"/>
          <w:szCs w:val="24"/>
          <w:lang w:eastAsia="zh-CN"/>
          <w14:textFill>
            <w14:solidFill>
              <w14:schemeClr w14:val="tx1"/>
            </w14:solidFill>
          </w14:textFill>
        </w:rPr>
        <w:t>，每次用车双方应在用车结束后签署《重庆医科大学附属永川医院车辆租赁确认单》，并以此作为结算依据。</w:t>
      </w:r>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2" w:name="_Toc10688"/>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14"/>
      <w:bookmarkEnd w:id="122"/>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3" w:name="_Toc8161"/>
      <w:r>
        <w:rPr>
          <w:rFonts w:hint="eastAsia" w:ascii="微软雅黑" w:hAnsi="微软雅黑" w:eastAsia="微软雅黑" w:cs="微软雅黑"/>
          <w:color w:val="000000" w:themeColor="text1"/>
          <w:sz w:val="24"/>
          <w:szCs w:val="24"/>
          <w14:textFill>
            <w14:solidFill>
              <w14:schemeClr w14:val="tx1"/>
            </w14:solidFill>
          </w14:textFill>
        </w:rPr>
        <w:t>（一）本合同范围的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服务内容</w:t>
      </w:r>
      <w:r>
        <w:rPr>
          <w:rFonts w:hint="eastAsia" w:ascii="微软雅黑" w:hAnsi="微软雅黑" w:eastAsia="微软雅黑" w:cs="微软雅黑"/>
          <w:color w:val="000000" w:themeColor="text1"/>
          <w:sz w:val="24"/>
          <w:szCs w:val="24"/>
          <w14:textFill>
            <w14:solidFill>
              <w14:schemeClr w14:val="tx1"/>
            </w14:solidFill>
          </w14:textFill>
        </w:rPr>
        <w:t>，应由乙方直接供应，不得转让他人供应；</w:t>
      </w:r>
      <w:bookmarkEnd w:id="123"/>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4" w:name="_Toc26926"/>
      <w:r>
        <w:rPr>
          <w:rFonts w:hint="eastAsia" w:ascii="微软雅黑" w:hAnsi="微软雅黑" w:eastAsia="微软雅黑" w:cs="微软雅黑"/>
          <w:color w:val="000000" w:themeColor="text1"/>
          <w:sz w:val="24"/>
          <w:szCs w:val="24"/>
          <w14:textFill>
            <w14:solidFill>
              <w14:schemeClr w14:val="tx1"/>
            </w14:solidFill>
          </w14:textFill>
        </w:rPr>
        <w:t>（二）非经甲方书面同意，乙方不得将本合同范围的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服务内容</w:t>
      </w:r>
      <w:r>
        <w:rPr>
          <w:rFonts w:hint="eastAsia" w:ascii="微软雅黑" w:hAnsi="微软雅黑" w:eastAsia="微软雅黑" w:cs="微软雅黑"/>
          <w:color w:val="000000" w:themeColor="text1"/>
          <w:sz w:val="24"/>
          <w:szCs w:val="24"/>
          <w14:textFill>
            <w14:solidFill>
              <w14:schemeClr w14:val="tx1"/>
            </w14:solidFill>
          </w14:textFill>
        </w:rPr>
        <w:t>全部或部分分包给他人供应；</w:t>
      </w:r>
      <w:bookmarkEnd w:id="124"/>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5" w:name="_Toc11245"/>
      <w:r>
        <w:rPr>
          <w:rFonts w:hint="eastAsia" w:ascii="微软雅黑" w:hAnsi="微软雅黑" w:eastAsia="微软雅黑" w:cs="微软雅黑"/>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25"/>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6" w:name="_Toc54718206"/>
      <w:bookmarkStart w:id="127" w:name="_Toc25986"/>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26"/>
      <w:bookmarkEnd w:id="127"/>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8" w:name="_Toc12985"/>
      <w:r>
        <w:rPr>
          <w:rFonts w:hint="eastAsia" w:ascii="微软雅黑" w:hAnsi="微软雅黑" w:eastAsia="微软雅黑" w:cs="微软雅黑"/>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）如在使用过程中</w:t>
      </w:r>
      <w:r>
        <w:rPr>
          <w:rFonts w:hint="eastAsia" w:ascii="微软雅黑" w:hAnsi="微软雅黑" w:eastAsia="微软雅黑" w:cs="微软雅黑"/>
          <w:color w:val="000000" w:themeColor="text1"/>
          <w:sz w:val="24"/>
          <w:szCs w:val="24"/>
          <w:lang w:eastAsia="zh-CN"/>
          <w14:textFill>
            <w14:solidFill>
              <w14:schemeClr w14:val="tx1"/>
            </w14:solidFill>
          </w14:textFill>
        </w:rPr>
        <w:t>出现争议</w:t>
      </w:r>
      <w:r>
        <w:rPr>
          <w:rFonts w:hint="eastAsia" w:ascii="微软雅黑" w:hAnsi="微软雅黑" w:eastAsia="微软雅黑" w:cs="微软雅黑"/>
          <w:color w:val="000000" w:themeColor="text1"/>
          <w:sz w:val="24"/>
          <w:szCs w:val="24"/>
          <w14:textFill>
            <w14:solidFill>
              <w14:schemeClr w14:val="tx1"/>
            </w14:solidFill>
          </w14:textFill>
        </w:rPr>
        <w:t>问题，乙方应同本项目“第</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篇 项目商务要求”对质量保证及售后服务内容的约定。</w:t>
      </w:r>
      <w:bookmarkEnd w:id="128"/>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29" w:name="_Toc23372"/>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合同</w:t>
      </w:r>
      <w:r>
        <w:rPr>
          <w:rFonts w:hint="eastAsia" w:ascii="微软雅黑" w:hAnsi="微软雅黑" w:eastAsia="微软雅黑" w:cs="微软雅黑"/>
          <w:color w:val="000000" w:themeColor="text1"/>
          <w:sz w:val="24"/>
          <w:szCs w:val="24"/>
          <w14:textFill>
            <w14:solidFill>
              <w14:schemeClr w14:val="tx1"/>
            </w14:solidFill>
          </w14:textFill>
        </w:rPr>
        <w:t>期内，</w:t>
      </w:r>
      <w:r>
        <w:rPr>
          <w:rFonts w:hint="eastAsia" w:ascii="微软雅黑" w:hAnsi="微软雅黑" w:eastAsia="微软雅黑" w:cs="微软雅黑"/>
          <w:color w:val="000000" w:themeColor="text1"/>
          <w:sz w:val="24"/>
          <w:szCs w:val="24"/>
          <w:lang w:eastAsia="zh-CN"/>
          <w14:textFill>
            <w14:solidFill>
              <w14:schemeClr w14:val="tx1"/>
            </w14:solidFill>
          </w14:textFill>
        </w:rPr>
        <w:t>在服务过程中出现的</w:t>
      </w:r>
      <w:r>
        <w:rPr>
          <w:rFonts w:hint="eastAsia" w:ascii="微软雅黑" w:hAnsi="微软雅黑" w:eastAsia="微软雅黑" w:cs="微软雅黑"/>
          <w:color w:val="000000" w:themeColor="text1"/>
          <w:sz w:val="24"/>
          <w:szCs w:val="24"/>
          <w14:textFill>
            <w14:solidFill>
              <w14:schemeClr w14:val="tx1"/>
            </w14:solidFill>
          </w14:textFill>
        </w:rPr>
        <w:t>安全问题</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乙方负责处理解决并承担一切费用。</w:t>
      </w:r>
      <w:bookmarkEnd w:id="129"/>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0" w:name="_Toc54718207"/>
      <w:bookmarkStart w:id="131" w:name="_Toc21932"/>
      <w:r>
        <w:rPr>
          <w:rFonts w:hint="eastAsia" w:ascii="微软雅黑" w:hAnsi="微软雅黑" w:eastAsia="微软雅黑" w:cs="微软雅黑"/>
          <w:color w:val="000000" w:themeColor="text1"/>
          <w:sz w:val="24"/>
          <w:szCs w:val="24"/>
          <w14:textFill>
            <w14:solidFill>
              <w14:schemeClr w14:val="tx1"/>
            </w14:solidFill>
          </w14:textFill>
        </w:rPr>
        <w:t>六、付款</w:t>
      </w:r>
      <w:bookmarkEnd w:id="130"/>
      <w:bookmarkEnd w:id="131"/>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2" w:name="_Toc23183"/>
      <w:r>
        <w:rPr>
          <w:rFonts w:hint="eastAsia" w:ascii="微软雅黑" w:hAnsi="微软雅黑" w:eastAsia="微软雅黑" w:cs="微软雅黑"/>
          <w:color w:val="000000" w:themeColor="text1"/>
          <w:sz w:val="24"/>
          <w:szCs w:val="24"/>
          <w14:textFill>
            <w14:solidFill>
              <w14:schemeClr w14:val="tx1"/>
            </w14:solidFill>
          </w14:textFill>
        </w:rPr>
        <w:t>（一）本合同使用货币币制如未作特别说明均为人民币。</w:t>
      </w:r>
      <w:bookmarkEnd w:id="132"/>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3" w:name="_Toc8880"/>
      <w:r>
        <w:rPr>
          <w:rFonts w:hint="eastAsia" w:ascii="微软雅黑" w:hAnsi="微软雅黑" w:eastAsia="微软雅黑" w:cs="微软雅黑"/>
          <w:color w:val="000000" w:themeColor="text1"/>
          <w:sz w:val="24"/>
          <w:szCs w:val="24"/>
          <w14:textFill>
            <w14:solidFill>
              <w14:schemeClr w14:val="tx1"/>
            </w14:solidFill>
          </w14:textFill>
        </w:rPr>
        <w:t>（二）付款方式：银行转账。</w:t>
      </w:r>
      <w:bookmarkEnd w:id="133"/>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4" w:name="_Toc28037"/>
      <w:r>
        <w:rPr>
          <w:rFonts w:hint="eastAsia" w:ascii="微软雅黑" w:hAnsi="微软雅黑" w:eastAsia="微软雅黑" w:cs="微软雅黑"/>
          <w:color w:val="000000" w:themeColor="text1"/>
          <w:sz w:val="24"/>
          <w:szCs w:val="24"/>
          <w14:textFill>
            <w14:solidFill>
              <w14:schemeClr w14:val="tx1"/>
            </w14:solidFill>
          </w14:textFill>
        </w:rPr>
        <w:t>（三）付款方法：同本项目“第</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篇 项目商务要求”中关于</w:t>
      </w:r>
      <w:r>
        <w:rPr>
          <w:rFonts w:hint="eastAsia" w:ascii="微软雅黑" w:hAnsi="微软雅黑" w:eastAsia="微软雅黑" w:cs="微软雅黑"/>
          <w:color w:val="000000" w:themeColor="text1"/>
          <w:sz w:val="24"/>
          <w:szCs w:val="24"/>
          <w:lang w:eastAsia="zh-CN"/>
          <w14:textFill>
            <w14:solidFill>
              <w14:schemeClr w14:val="tx1"/>
            </w14:solidFill>
          </w14:textFill>
        </w:rPr>
        <w:t>款项支付</w:t>
      </w:r>
      <w:r>
        <w:rPr>
          <w:rFonts w:hint="eastAsia" w:ascii="微软雅黑" w:hAnsi="微软雅黑" w:eastAsia="微软雅黑" w:cs="微软雅黑"/>
          <w:color w:val="000000" w:themeColor="text1"/>
          <w:sz w:val="24"/>
          <w:szCs w:val="24"/>
          <w14:textFill>
            <w14:solidFill>
              <w14:schemeClr w14:val="tx1"/>
            </w14:solidFill>
          </w14:textFill>
        </w:rPr>
        <w:t>的约定。</w:t>
      </w:r>
      <w:bookmarkEnd w:id="134"/>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5" w:name="_Toc54718211"/>
      <w:bookmarkStart w:id="136" w:name="_Toc1868"/>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35"/>
      <w:bookmarkEnd w:id="136"/>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7" w:name="_Toc5382"/>
      <w:r>
        <w:rPr>
          <w:rFonts w:hint="eastAsia" w:ascii="微软雅黑" w:hAnsi="微软雅黑" w:eastAsia="微软雅黑" w:cs="微软雅黑"/>
          <w:color w:val="000000" w:themeColor="text1"/>
          <w:sz w:val="24"/>
          <w:szCs w:val="24"/>
          <w14:textFill>
            <w14:solidFill>
              <w14:schemeClr w14:val="tx1"/>
            </w14:solidFill>
          </w14:textFill>
        </w:rPr>
        <w:t>（一）当事人友好协商达成一致</w:t>
      </w:r>
      <w:bookmarkEnd w:id="137"/>
    </w:p>
    <w:p>
      <w:pPr>
        <w:pageBreakBefore w:val="0"/>
        <w:kinsoku/>
        <w:wordWrap/>
        <w:overflowPunct/>
        <w:topLinePunct w:val="0"/>
        <w:bidi w:val="0"/>
        <w:snapToGrid w:val="0"/>
        <w:spacing w:line="240" w:lineRule="auto"/>
        <w:ind w:left="315" w:leftChars="150"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8" w:name="_Toc29926"/>
      <w:r>
        <w:rPr>
          <w:rFonts w:hint="eastAsia" w:ascii="微软雅黑" w:hAnsi="微软雅黑" w:eastAsia="微软雅黑" w:cs="微软雅黑"/>
          <w:color w:val="000000" w:themeColor="text1"/>
          <w:sz w:val="24"/>
          <w:szCs w:val="24"/>
          <w14:textFill>
            <w14:solidFill>
              <w14:schemeClr w14:val="tx1"/>
            </w14:solidFill>
          </w14:textFill>
        </w:rPr>
        <w:t>（二）在60天内当事人协商不能达成协议的，任何一方均可向永川区人民法院起诉。</w:t>
      </w:r>
      <w:bookmarkEnd w:id="138"/>
      <w:bookmarkStart w:id="139" w:name="_Toc54718212"/>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0" w:name="_Toc26303"/>
      <w:r>
        <w:rPr>
          <w:rFonts w:hint="eastAsia" w:ascii="微软雅黑" w:hAnsi="微软雅黑" w:eastAsia="微软雅黑" w:cs="微软雅黑"/>
          <w:color w:val="000000" w:themeColor="text1"/>
          <w:sz w:val="24"/>
          <w:szCs w:val="24"/>
          <w:lang w:eastAsia="zh-CN"/>
          <w14:textFill>
            <w14:solidFill>
              <w14:schemeClr w14:val="tx1"/>
            </w14:solidFill>
          </w14:textFill>
        </w:rPr>
        <w:t>八</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39"/>
      <w:bookmarkEnd w:id="140"/>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1" w:name="_Toc54718213"/>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一</w:t>
      </w:r>
      <w:r>
        <w:rPr>
          <w:rFonts w:hint="eastAsia" w:ascii="微软雅黑" w:hAnsi="微软雅黑" w:eastAsia="微软雅黑" w:cs="微软雅黑"/>
          <w:color w:val="000000" w:themeColor="text1"/>
          <w:sz w:val="24"/>
          <w:szCs w:val="24"/>
          <w14:textFill>
            <w14:solidFill>
              <w14:schemeClr w14:val="tx1"/>
            </w14:solidFill>
          </w14:textFill>
        </w:rPr>
        <w:t>）按《中华人民共和国民法典》有关条款，在合同期内，乙方对货物与合同要求不符承担责任，并且甲方已于规定合同期内提出违约，乙方应按甲方同意的下述一种或多种方法解决违约事宜。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1.合同有效期内，因政策调整变化、乙方所</w:t>
      </w:r>
      <w:r>
        <w:rPr>
          <w:rFonts w:hint="eastAsia" w:ascii="微软雅黑" w:hAnsi="微软雅黑" w:eastAsia="微软雅黑" w:cs="微软雅黑"/>
          <w:color w:val="000000" w:themeColor="text1"/>
          <w:sz w:val="24"/>
          <w:szCs w:val="24"/>
          <w:lang w:eastAsia="zh-CN"/>
          <w14:textFill>
            <w14:solidFill>
              <w14:schemeClr w14:val="tx1"/>
            </w14:solidFill>
          </w14:textFill>
        </w:rPr>
        <w:t>服务项目不满足相关政策</w:t>
      </w:r>
      <w:r>
        <w:rPr>
          <w:rFonts w:hint="eastAsia" w:ascii="微软雅黑" w:hAnsi="微软雅黑" w:eastAsia="微软雅黑" w:cs="微软雅黑"/>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3.未经甲方同意，乙方擅自变更公司名称或擅自停止</w:t>
      </w:r>
      <w:r>
        <w:rPr>
          <w:rFonts w:hint="eastAsia" w:ascii="微软雅黑" w:hAnsi="微软雅黑" w:eastAsia="微软雅黑" w:cs="微软雅黑"/>
          <w:color w:val="000000" w:themeColor="text1"/>
          <w:sz w:val="24"/>
          <w:szCs w:val="24"/>
          <w:lang w:eastAsia="zh-CN"/>
          <w14:textFill>
            <w14:solidFill>
              <w14:schemeClr w14:val="tx1"/>
            </w14:solidFill>
          </w14:textFill>
        </w:rPr>
        <w:t>服务的</w:t>
      </w:r>
      <w:r>
        <w:rPr>
          <w:rFonts w:hint="eastAsia" w:ascii="微软雅黑" w:hAnsi="微软雅黑" w:eastAsia="微软雅黑" w:cs="微软雅黑"/>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4.未经甲方同意，供货方擅自涨价或停止</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的；</w:t>
      </w:r>
    </w:p>
    <w:p>
      <w:pPr>
        <w:pStyle w:val="3"/>
        <w:pageBreakBefore w:val="0"/>
        <w:kinsoku/>
        <w:wordWrap/>
        <w:overflowPunct/>
        <w:topLinePunct w:val="0"/>
        <w:bidi w:val="0"/>
        <w:spacing w:before="0" w:after="0"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2" w:name="_Toc15197"/>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41"/>
      <w:bookmarkEnd w:id="142"/>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3" w:name="_Toc7071"/>
      <w:r>
        <w:rPr>
          <w:rFonts w:hint="eastAsia" w:ascii="微软雅黑" w:hAnsi="微软雅黑" w:eastAsia="微软雅黑" w:cs="微软雅黑"/>
          <w:color w:val="000000" w:themeColor="text1"/>
          <w:sz w:val="24"/>
          <w:szCs w:val="24"/>
          <w14:textFill>
            <w14:solidFill>
              <w14:schemeClr w14:val="tx1"/>
            </w14:solidFill>
          </w14:textFill>
        </w:rPr>
        <w:t>（一）合同生效及其效力应符合《中华人民共和国民法典》有关规定。</w:t>
      </w:r>
      <w:bookmarkEnd w:id="143"/>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4" w:name="_Toc26923"/>
      <w:r>
        <w:rPr>
          <w:rFonts w:hint="eastAsia" w:ascii="微软雅黑" w:hAnsi="微软雅黑" w:eastAsia="微软雅黑" w:cs="微软雅黑"/>
          <w:color w:val="000000" w:themeColor="text1"/>
          <w:sz w:val="24"/>
          <w:szCs w:val="24"/>
          <w14:textFill>
            <w14:solidFill>
              <w14:schemeClr w14:val="tx1"/>
            </w14:solidFill>
          </w14:textFill>
        </w:rPr>
        <w:t>（二）合同应经当事人法定代表人或委托代理人签字，加盖双方合同专用章或公章。</w:t>
      </w:r>
      <w:bookmarkEnd w:id="144"/>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5" w:name="_Toc21580"/>
      <w:r>
        <w:rPr>
          <w:rFonts w:hint="eastAsia" w:ascii="微软雅黑" w:hAnsi="微软雅黑" w:eastAsia="微软雅黑" w:cs="微软雅黑"/>
          <w:color w:val="000000" w:themeColor="text1"/>
          <w:sz w:val="24"/>
          <w:szCs w:val="24"/>
          <w14:textFill>
            <w14:solidFill>
              <w14:schemeClr w14:val="tx1"/>
            </w14:solidFill>
          </w14:textFill>
        </w:rPr>
        <w:t>（三）合同所包括附件，是合同不可分割的一部分，具有同等法法律效力。</w:t>
      </w:r>
      <w:bookmarkEnd w:id="145"/>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6" w:name="_Toc28233"/>
      <w:r>
        <w:rPr>
          <w:rFonts w:hint="eastAsia" w:ascii="微软雅黑" w:hAnsi="微软雅黑" w:eastAsia="微软雅黑" w:cs="微软雅黑"/>
          <w:color w:val="000000" w:themeColor="text1"/>
          <w:sz w:val="24"/>
          <w:szCs w:val="24"/>
          <w14:textFill>
            <w14:solidFill>
              <w14:schemeClr w14:val="tx1"/>
            </w14:solidFill>
          </w14:textFill>
        </w:rPr>
        <w:t>（四）合同需提供担保的，按《中华人民共和国担保法》规定执行。</w:t>
      </w:r>
      <w:bookmarkEnd w:id="146"/>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7" w:name="_Toc18983"/>
      <w:r>
        <w:rPr>
          <w:rFonts w:hint="eastAsia" w:ascii="微软雅黑" w:hAnsi="微软雅黑" w:eastAsia="微软雅黑" w:cs="微软雅黑"/>
          <w:color w:val="000000" w:themeColor="text1"/>
          <w:sz w:val="24"/>
          <w:szCs w:val="24"/>
          <w14:textFill>
            <w14:solidFill>
              <w14:schemeClr w14:val="tx1"/>
            </w14:solidFill>
          </w14:textFill>
        </w:rPr>
        <w:t>（五）本合同条件未尽事宜依照《中华人民共和国民法典》，由供需双方共同协商确定。</w:t>
      </w:r>
      <w:bookmarkEnd w:id="147"/>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9000"/>
        </w:tabs>
        <w:kinsoku/>
        <w:wordWrap/>
        <w:overflowPunct/>
        <w:topLinePunct w:val="0"/>
        <w:bidi w:val="0"/>
        <w:spacing w:line="240" w:lineRule="auto"/>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pageBreakBefore w:val="0"/>
        <w:kinsoku/>
        <w:wordWrap/>
        <w:overflowPunct/>
        <w:topLinePunct w:val="0"/>
        <w:bidi w:val="0"/>
        <w:spacing w:line="240" w:lineRule="auto"/>
        <w:jc w:val="center"/>
        <w:rPr>
          <w:rFonts w:hint="eastAsia" w:ascii="微软雅黑" w:hAnsi="微软雅黑" w:eastAsia="微软雅黑" w:cs="微软雅黑"/>
          <w:b/>
          <w:bCs/>
          <w:color w:val="000000" w:themeColor="text1"/>
          <w:sz w:val="36"/>
          <w:szCs w:val="36"/>
          <w14:textFill>
            <w14:solidFill>
              <w14:schemeClr w14:val="tx1"/>
            </w14:solidFill>
          </w14:textFill>
        </w:rPr>
      </w:pPr>
      <w:bookmarkStart w:id="148" w:name="_Hlt41879464"/>
      <w:bookmarkEnd w:id="148"/>
      <w:bookmarkStart w:id="149" w:name="_Toc13521"/>
      <w:bookmarkStart w:id="150" w:name="_Toc12789072"/>
      <w:bookmarkStart w:id="151" w:name="_Toc485108795"/>
      <w:r>
        <w:rPr>
          <w:rFonts w:hint="eastAsia" w:ascii="微软雅黑" w:hAnsi="微软雅黑" w:eastAsia="微软雅黑" w:cs="微软雅黑"/>
          <w:b/>
          <w:bCs/>
          <w:color w:val="000000" w:themeColor="text1"/>
          <w:sz w:val="36"/>
          <w:szCs w:val="36"/>
          <w14:textFill>
            <w14:solidFill>
              <w14:schemeClr w14:val="tx1"/>
            </w14:solidFill>
          </w14:textFill>
        </w:rPr>
        <w:t>第六篇  响应文件格式要求</w:t>
      </w:r>
      <w:bookmarkEnd w:id="149"/>
      <w:bookmarkEnd w:id="150"/>
      <w:bookmarkEnd w:id="151"/>
    </w:p>
    <w:p>
      <w:pPr>
        <w:pStyle w:val="3"/>
        <w:keepNext/>
        <w:keepLines/>
        <w:pageBreakBefore w:val="0"/>
        <w:widowControl w:val="0"/>
        <w:kinsoku/>
        <w:wordWrap/>
        <w:overflowPunct/>
        <w:topLinePunct w:val="0"/>
        <w:autoSpaceDE/>
        <w:autoSpaceDN/>
        <w:bidi w:val="0"/>
        <w:adjustRightInd/>
        <w:snapToGrid/>
        <w:spacing w:before="0" w:after="0" w:line="3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2" w:name="_Toc12799"/>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52"/>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（二）明细报价表</w:t>
      </w:r>
    </w:p>
    <w:p>
      <w:pPr>
        <w:pStyle w:val="3"/>
        <w:keepNext/>
        <w:keepLines/>
        <w:pageBreakBefore w:val="0"/>
        <w:widowControl w:val="0"/>
        <w:kinsoku/>
        <w:wordWrap/>
        <w:overflowPunct/>
        <w:topLinePunct w:val="0"/>
        <w:autoSpaceDE/>
        <w:autoSpaceDN/>
        <w:bidi w:val="0"/>
        <w:adjustRightInd/>
        <w:snapToGrid/>
        <w:spacing w:before="0" w:after="0" w:line="3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3" w:name="_Toc20363"/>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53"/>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keepNext/>
        <w:keepLines/>
        <w:pageBreakBefore w:val="0"/>
        <w:widowControl w:val="0"/>
        <w:kinsoku/>
        <w:wordWrap/>
        <w:overflowPunct/>
        <w:topLinePunct w:val="0"/>
        <w:autoSpaceDE/>
        <w:autoSpaceDN/>
        <w:bidi w:val="0"/>
        <w:adjustRightInd/>
        <w:snapToGrid/>
        <w:spacing w:before="0" w:after="0" w:line="3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4" w:name="_Toc660"/>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54"/>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5" w:name="_Toc38358147"/>
      <w:bookmarkStart w:id="156" w:name="OLE_LINK11"/>
      <w:bookmarkStart w:id="157"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55"/>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（三）其它优惠承诺</w:t>
      </w:r>
    </w:p>
    <w:p>
      <w:pPr>
        <w:pStyle w:val="3"/>
        <w:keepNext/>
        <w:keepLines/>
        <w:pageBreakBefore w:val="0"/>
        <w:widowControl w:val="0"/>
        <w:kinsoku/>
        <w:wordWrap/>
        <w:overflowPunct/>
        <w:topLinePunct w:val="0"/>
        <w:autoSpaceDE/>
        <w:autoSpaceDN/>
        <w:bidi w:val="0"/>
        <w:adjustRightInd/>
        <w:snapToGrid/>
        <w:spacing w:before="0" w:after="0" w:line="3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8" w:name="_Toc9629"/>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58"/>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（一）营业执照（副本）或事业单位法人证书（副本）复印件</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（二）组织机构代码证复印件</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（三）法定代表人身份证明书（格式）</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（四）法定代表人授权委托书（格式）</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highlight w:val="yellow"/>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（六）书面声明（格式）</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（七）税务登记证（副本）复印件</w:t>
      </w:r>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pageBreakBefore w:val="0"/>
        <w:widowControl w:val="0"/>
        <w:kinsoku/>
        <w:wordWrap/>
        <w:overflowPunct/>
        <w:topLinePunct w:val="0"/>
        <w:autoSpaceDE/>
        <w:autoSpaceDN/>
        <w:bidi w:val="0"/>
        <w:adjustRightInd/>
        <w:spacing w:line="38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（九）特定资格条件证书或证明文件（如果有）</w:t>
      </w:r>
    </w:p>
    <w:p>
      <w:pPr>
        <w:pageBreakBefore w:val="0"/>
        <w:widowControl w:val="0"/>
        <w:kinsoku/>
        <w:wordWrap/>
        <w:overflowPunct/>
        <w:topLinePunct w:val="0"/>
        <w:autoSpaceDE/>
        <w:autoSpaceDN/>
        <w:bidi w:val="0"/>
        <w:adjustRightInd/>
        <w:snapToGrid w:val="0"/>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keepNext/>
        <w:keepLines/>
        <w:pageBreakBefore w:val="0"/>
        <w:widowControl w:val="0"/>
        <w:kinsoku/>
        <w:wordWrap/>
        <w:overflowPunct/>
        <w:topLinePunct w:val="0"/>
        <w:autoSpaceDE/>
        <w:autoSpaceDN/>
        <w:bidi w:val="0"/>
        <w:adjustRightInd/>
        <w:snapToGrid/>
        <w:spacing w:before="0" w:after="0" w:line="380" w:lineRule="exac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9" w:name="_Toc10881"/>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59"/>
    </w:p>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（一）其他资料</w:t>
      </w:r>
    </w:p>
    <w:bookmarkEnd w:id="156"/>
    <w:bookmarkEnd w:id="157"/>
    <w:p>
      <w:pPr>
        <w:pageBreakBefore w:val="0"/>
        <w:widowControl w:val="0"/>
        <w:kinsoku/>
        <w:wordWrap/>
        <w:overflowPunct/>
        <w:topLinePunct w:val="0"/>
        <w:autoSpaceDE/>
        <w:autoSpaceDN/>
        <w:bidi w:val="0"/>
        <w:adjustRightInd/>
        <w:spacing w:line="38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1.其他与项目有关的资料</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4"/>
        <w:bidi w:val="0"/>
        <w:rPr>
          <w:rFonts w:hint="eastAsia" w:ascii="微软雅黑" w:hAnsi="微软雅黑" w:eastAsia="微软雅黑" w:cs="微软雅黑"/>
          <w:color w:val="000000" w:themeColor="text1"/>
          <w:sz w:val="21"/>
          <w:szCs w:val="21"/>
          <w14:textFill>
            <w14:solidFill>
              <w14:schemeClr w14:val="tx1"/>
            </w14:solidFill>
          </w14:textFill>
        </w:rPr>
      </w:pPr>
      <w:bookmarkStart w:id="160" w:name="_Toc480979018"/>
      <w:bookmarkStart w:id="161" w:name="_Toc16031"/>
      <w:bookmarkStart w:id="162" w:name="_Toc313888360"/>
      <w:bookmarkStart w:id="163" w:name="_Toc485108796"/>
      <w:bookmarkStart w:id="164" w:name="_Toc10889"/>
      <w:bookmarkStart w:id="165" w:name="_Toc342913419"/>
      <w:bookmarkStart w:id="166" w:name="_Toc313008356"/>
      <w:bookmarkStart w:id="167" w:name="_Toc12789073"/>
      <w:bookmarkStart w:id="168" w:name="_Toc283382454"/>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60"/>
      <w:bookmarkEnd w:id="161"/>
      <w:bookmarkEnd w:id="162"/>
      <w:bookmarkEnd w:id="163"/>
      <w:bookmarkEnd w:id="164"/>
      <w:bookmarkEnd w:id="165"/>
      <w:bookmarkEnd w:id="166"/>
    </w:p>
    <w:bookmarkEnd w:id="167"/>
    <w:bookmarkEnd w:id="168"/>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pageBreakBefore w:val="0"/>
        <w:tabs>
          <w:tab w:val="left" w:pos="6300"/>
        </w:tabs>
        <w:kinsoku/>
        <w:wordWrap/>
        <w:overflowPunct/>
        <w:topLinePunct w:val="0"/>
        <w:bidi w:val="0"/>
        <w:snapToGrid w:val="0"/>
        <w:spacing w:line="240" w:lineRule="auto"/>
        <w:ind w:firstLine="560" w:firstLineChars="200"/>
        <w:jc w:val="center"/>
        <w:outlineLvl w:val="0"/>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比选报价函</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pageBreakBefore w:val="0"/>
        <w:numPr>
          <w:ilvl w:val="0"/>
          <w:numId w:val="15"/>
        </w:numPr>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愿意按照比选文件中的一切要求，提供本项目的技术服务、商务需求，报价</w:t>
      </w:r>
      <w:r>
        <w:rPr>
          <w:rFonts w:hint="eastAsia" w:ascii="微软雅黑" w:hAnsi="微软雅黑" w:eastAsia="微软雅黑" w:cs="微软雅黑"/>
          <w:color w:val="000000" w:themeColor="text1"/>
          <w:sz w:val="24"/>
          <w:szCs w:val="24"/>
          <w:lang w:eastAsia="zh-CN"/>
          <w14:textFill>
            <w14:solidFill>
              <w14:schemeClr w14:val="tx1"/>
            </w14:solidFill>
          </w14:textFill>
        </w:rPr>
        <w:t>以（二）明细报价表</w:t>
      </w:r>
      <w:r>
        <w:rPr>
          <w:rFonts w:hint="eastAsia" w:ascii="微软雅黑" w:hAnsi="微软雅黑" w:eastAsia="微软雅黑" w:cs="微软雅黑"/>
          <w:color w:val="000000" w:themeColor="text1"/>
          <w:sz w:val="24"/>
          <w:szCs w:val="24"/>
          <w14:textFill>
            <w14:solidFill>
              <w14:schemeClr w14:val="tx1"/>
            </w14:solidFill>
          </w14:textFill>
        </w:rPr>
        <w:t>为准。</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2、我方现提交的响应文件为：响应文件正本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份，副本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3、我方承诺：本次比选的有效期为90天。</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4、我方完全理解和接受贵方比选文件的一切规定和要求及比选评审办法。</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7、我方未为采购项目提供整体设计、规范编制或者项目管理、监理、监测等服务。</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供应商（公章）：</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地址：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电话：                           传真：</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网址：                           邮编：</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微软雅黑" w:hAnsi="微软雅黑" w:eastAsia="微软雅黑" w:cs="微软雅黑"/>
          <w:color w:val="000000" w:themeColor="text1"/>
          <w:sz w:val="24"/>
          <w:szCs w:val="24"/>
          <w14:textFill>
            <w14:solidFill>
              <w14:schemeClr w14:val="tx1"/>
            </w14:solidFill>
          </w14:textFill>
        </w:rPr>
        <w:t xml:space="preserve">                               年   月   日</w:t>
      </w:r>
    </w:p>
    <w:p>
      <w:pPr>
        <w:pageBreakBefore w:val="0"/>
        <w:tabs>
          <w:tab w:val="left" w:pos="2895"/>
        </w:tabs>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（二）明细报价表</w:t>
      </w:r>
    </w:p>
    <w:p>
      <w:pPr>
        <w:pageBreakBefore w:val="0"/>
        <w:kinsoku/>
        <w:wordWrap/>
        <w:overflowPunct/>
        <w:topLinePunct w:val="0"/>
        <w:bidi w:val="0"/>
        <w:snapToGrid w:val="0"/>
        <w:spacing w:line="240" w:lineRule="auto"/>
        <w:ind w:firstLine="560" w:firstLineChars="200"/>
        <w:jc w:val="center"/>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明细报价表</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604"/>
        <w:gridCol w:w="1605"/>
        <w:gridCol w:w="1605"/>
        <w:gridCol w:w="160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604"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目的地</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车型（座）</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单程（元</w:t>
            </w: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/趟</w:t>
            </w: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往返（元</w:t>
            </w: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/趟</w:t>
            </w: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放空（元</w:t>
            </w: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/趟</w:t>
            </w: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kern w:val="0"/>
                <w:sz w:val="22"/>
                <w:szCs w:val="22"/>
                <w:lang w:eastAsia="zh-CN" w:bidi="ar"/>
                <w14:textFill>
                  <w14:solidFill>
                    <w14:schemeClr w14:val="tx1"/>
                  </w14:solidFill>
                </w14:textFill>
              </w:rPr>
              <w:t>校本部</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大学城校区</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重庆</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6院</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永川城区内</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三教、朱沱、松溉、何埂</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04" w:type="dxa"/>
            <w:vMerge w:val="restart"/>
            <w:vAlign w:val="center"/>
          </w:tcPr>
          <w:p>
            <w:pPr>
              <w:pageBreakBefore w:val="0"/>
              <w:widowControl/>
              <w:kinsoku/>
              <w:wordWrap/>
              <w:overflowPunct/>
              <w:topLinePunct w:val="0"/>
              <w:bidi w:val="0"/>
              <w:spacing w:line="240" w:lineRule="auto"/>
              <w:jc w:val="center"/>
              <w:textAlignment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宝峰、金龙、仙龙、五间、吉安、临江、陈食、青峰、大安</w:t>
            </w: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49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39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dxa"/>
            <w:vMerge w:val="continue"/>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微软雅黑" w:hAnsi="微软雅黑" w:eastAsia="微软雅黑" w:cs="微软雅黑"/>
                <w:color w:val="000000" w:themeColor="text1"/>
                <w:sz w:val="22"/>
                <w:szCs w:val="22"/>
                <w:vertAlign w:val="baseline"/>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19</w:t>
            </w: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c>
          <w:tcPr>
            <w:tcW w:w="1605" w:type="dxa"/>
            <w:vAlign w:val="center"/>
          </w:tcPr>
          <w:p>
            <w:pPr>
              <w:pageBreakBefore w:val="0"/>
              <w:kinsoku/>
              <w:wordWrap/>
              <w:overflowPunct/>
              <w:topLinePunct w:val="0"/>
              <w:bidi w:val="0"/>
              <w:spacing w:line="240" w:lineRule="auto"/>
              <w:ind w:right="560"/>
              <w:jc w:val="center"/>
              <w:rPr>
                <w:rFonts w:hint="eastAsia" w:ascii="微软雅黑" w:hAnsi="微软雅黑" w:eastAsia="微软雅黑" w:cs="微软雅黑"/>
                <w:color w:val="000000" w:themeColor="text1"/>
                <w:sz w:val="22"/>
                <w:szCs w:val="22"/>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8" w:type="dxa"/>
            <w:gridSpan w:val="6"/>
            <w:vAlign w:val="center"/>
          </w:tcPr>
          <w:p>
            <w:pPr>
              <w:pageBreakBefore w:val="0"/>
              <w:kinsoku/>
              <w:wordWrap/>
              <w:overflowPunct/>
              <w:topLinePunct w:val="0"/>
              <w:bidi w:val="0"/>
              <w:spacing w:line="240" w:lineRule="auto"/>
              <w:ind w:right="560"/>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eastAsia="zh-CN"/>
                <w14:textFill>
                  <w14:solidFill>
                    <w14:schemeClr w14:val="tx1"/>
                  </w14:solidFill>
                </w14:textFill>
              </w:rPr>
              <w:t>注：</w:t>
            </w: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1、费用包含但不限于租车费、燃油费、过桥过路费、停车费、驾驶员劳务费、餐费、税费等一切费用；</w:t>
            </w:r>
          </w:p>
          <w:p>
            <w:pPr>
              <w:pageBreakBefore w:val="0"/>
              <w:numPr>
                <w:ilvl w:val="0"/>
                <w:numId w:val="16"/>
              </w:numPr>
              <w:kinsoku/>
              <w:wordWrap/>
              <w:overflowPunct/>
              <w:topLinePunct w:val="0"/>
              <w:bidi w:val="0"/>
              <w:spacing w:line="240" w:lineRule="auto"/>
              <w:ind w:right="560"/>
              <w:rPr>
                <w:rFonts w:hint="default"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如有报价表外的临时用车线路，根据实际用车的里程数和运行天数另行报价协商；</w:t>
            </w:r>
          </w:p>
          <w:p>
            <w:pPr>
              <w:pageBreakBefore w:val="0"/>
              <w:numPr>
                <w:ilvl w:val="0"/>
                <w:numId w:val="16"/>
              </w:numPr>
              <w:kinsoku/>
              <w:wordWrap/>
              <w:overflowPunct/>
              <w:topLinePunct w:val="0"/>
              <w:bidi w:val="0"/>
              <w:spacing w:line="240" w:lineRule="auto"/>
              <w:ind w:right="560"/>
              <w:rPr>
                <w:rFonts w:hint="default" w:ascii="微软雅黑" w:hAnsi="微软雅黑" w:eastAsia="微软雅黑" w:cs="微软雅黑"/>
                <w:color w:val="000000" w:themeColor="text1"/>
                <w:sz w:val="22"/>
                <w:szCs w:val="22"/>
                <w:vertAlign w:val="baseline"/>
                <w:lang w:val="en-US" w:eastAsia="zh-CN"/>
                <w14:textFill>
                  <w14:solidFill>
                    <w14:schemeClr w14:val="tx1"/>
                  </w14:solidFill>
                </w14:textFill>
              </w:rPr>
            </w:pPr>
            <w:r>
              <w:rPr>
                <w:rFonts w:hint="eastAsia" w:ascii="微软雅黑" w:hAnsi="微软雅黑" w:eastAsia="微软雅黑" w:cs="微软雅黑"/>
                <w:color w:val="000000" w:themeColor="text1"/>
                <w:sz w:val="22"/>
                <w:szCs w:val="22"/>
                <w:vertAlign w:val="baseline"/>
                <w:lang w:val="en-US" w:eastAsia="zh-CN"/>
                <w14:textFill>
                  <w14:solidFill>
                    <w14:schemeClr w14:val="tx1"/>
                  </w14:solidFill>
                </w14:textFill>
              </w:rPr>
              <w:t>永川城区内包车按天数计算，当天不超过两次往返为一天。</w:t>
            </w:r>
          </w:p>
        </w:tc>
      </w:tr>
    </w:tbl>
    <w:p>
      <w:pPr>
        <w:pageBreakBefore w:val="0"/>
        <w:kinsoku/>
        <w:wordWrap/>
        <w:overflowPunct/>
        <w:topLinePunct w:val="0"/>
        <w:bidi w:val="0"/>
        <w:snapToGrid w:val="0"/>
        <w:spacing w:line="240" w:lineRule="auto"/>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注：1、请供应商完整填写本表。</w:t>
      </w:r>
    </w:p>
    <w:p>
      <w:pPr>
        <w:pageBreakBefore w:val="0"/>
        <w:numPr>
          <w:ilvl w:val="0"/>
          <w:numId w:val="0"/>
        </w:numPr>
        <w:kinsoku/>
        <w:wordWrap/>
        <w:overflowPunct/>
        <w:topLinePunct w:val="0"/>
        <w:bidi w:val="0"/>
        <w:snapToGrid w:val="0"/>
        <w:spacing w:line="240" w:lineRule="auto"/>
        <w:ind w:left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8"/>
          <w14:textFill>
            <w14:solidFill>
              <w14:schemeClr w14:val="tx1"/>
            </w14:solidFill>
          </w14:textFill>
        </w:rPr>
        <w:t>该表可扩展</w:t>
      </w:r>
      <w:bookmarkStart w:id="169" w:name="OLE_LINK2"/>
      <w:bookmarkStart w:id="170" w:name="OLE_LINK1"/>
      <w:r>
        <w:rPr>
          <w:rFonts w:hint="eastAsia" w:ascii="微软雅黑" w:hAnsi="微软雅黑" w:eastAsia="微软雅黑" w:cs="微软雅黑"/>
          <w:color w:val="000000" w:themeColor="text1"/>
          <w:sz w:val="24"/>
          <w:szCs w:val="28"/>
          <w14:textFill>
            <w14:solidFill>
              <w14:schemeClr w14:val="tx1"/>
            </w14:solidFill>
          </w14:textFill>
        </w:rPr>
        <w:t>，并逐页签字或盖章。</w:t>
      </w:r>
      <w:bookmarkEnd w:id="169"/>
      <w:bookmarkEnd w:id="170"/>
    </w:p>
    <w:p>
      <w:pPr>
        <w:pageBreakBefore w:val="0"/>
        <w:numPr>
          <w:ilvl w:val="0"/>
          <w:numId w:val="0"/>
        </w:numPr>
        <w:kinsoku/>
        <w:wordWrap/>
        <w:overflowPunct/>
        <w:topLinePunct w:val="0"/>
        <w:bidi w:val="0"/>
        <w:snapToGrid w:val="0"/>
        <w:spacing w:line="240" w:lineRule="auto"/>
        <w:ind w:left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8"/>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8"/>
          <w14:textFill>
            <w14:solidFill>
              <w14:schemeClr w14:val="tx1"/>
            </w14:solidFill>
          </w14:textFill>
        </w:rPr>
        <w:t>报价不限于以上品牌、车型。</w:t>
      </w:r>
      <w:r>
        <w:rPr>
          <w:rFonts w:hint="eastAsia" w:ascii="微软雅黑" w:hAnsi="微软雅黑" w:eastAsia="微软雅黑" w:cs="微软雅黑"/>
          <w:color w:val="000000" w:themeColor="text1"/>
          <w:sz w:val="24"/>
          <w:szCs w:val="24"/>
          <w14:textFill>
            <w14:solidFill>
              <w14:schemeClr w14:val="tx1"/>
            </w14:solidFill>
          </w14:textFill>
        </w:rPr>
        <w:t xml:space="preserve">       </w:t>
      </w:r>
    </w:p>
    <w:p>
      <w:pPr>
        <w:pageBreakBefore w:val="0"/>
        <w:numPr>
          <w:ilvl w:val="0"/>
          <w:numId w:val="0"/>
        </w:numPr>
        <w:kinsoku/>
        <w:wordWrap/>
        <w:overflowPunct/>
        <w:topLinePunct w:val="0"/>
        <w:bidi w:val="0"/>
        <w:snapToGrid w:val="0"/>
        <w:spacing w:line="240" w:lineRule="auto"/>
        <w:ind w:left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供应商名称（公章）：</w:t>
      </w:r>
    </w:p>
    <w:p>
      <w:pPr>
        <w:pageBreakBefore w:val="0"/>
        <w:kinsoku/>
        <w:wordWrap/>
        <w:overflowPunct/>
        <w:topLinePunct w:val="0"/>
        <w:bidi w:val="0"/>
        <w:spacing w:line="240" w:lineRule="auto"/>
        <w:ind w:right="480" w:firstLine="6240" w:firstLineChars="26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年     月    日</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headerReference r:id="rId6" w:type="default"/>
          <w:pgSz w:w="11907" w:h="16840"/>
          <w:pgMar w:top="1134" w:right="1191" w:bottom="1134" w:left="1304" w:header="851" w:footer="992" w:gutter="0"/>
          <w:cols w:space="720" w:num="1"/>
          <w:docGrid w:linePitch="380" w:charSpace="-5735"/>
        </w:sectPr>
      </w:pPr>
    </w:p>
    <w:tbl>
      <w:tblPr>
        <w:tblStyle w:val="58"/>
        <w:tblpPr w:leftFromText="180" w:rightFromText="180" w:vertAnchor="text" w:horzAnchor="page" w:tblpX="1104" w:tblpY="463"/>
        <w:tblOverlap w:val="never"/>
        <w:tblW w:w="9938" w:type="dxa"/>
        <w:tblInd w:w="0" w:type="dxa"/>
        <w:tblLayout w:type="fixed"/>
        <w:tblCellMar>
          <w:top w:w="0" w:type="dxa"/>
          <w:left w:w="108" w:type="dxa"/>
          <w:bottom w:w="0" w:type="dxa"/>
          <w:right w:w="108" w:type="dxa"/>
        </w:tblCellMar>
      </w:tblPr>
      <w:tblGrid>
        <w:gridCol w:w="1149"/>
        <w:gridCol w:w="2127"/>
        <w:gridCol w:w="1417"/>
        <w:gridCol w:w="1559"/>
        <w:gridCol w:w="1701"/>
        <w:gridCol w:w="1985"/>
      </w:tblGrid>
      <w:tr>
        <w:tblPrEx>
          <w:tblCellMar>
            <w:top w:w="0" w:type="dxa"/>
            <w:left w:w="108" w:type="dxa"/>
            <w:bottom w:w="0" w:type="dxa"/>
            <w:right w:w="108" w:type="dxa"/>
          </w:tblCellMar>
        </w:tblPrEx>
        <w:trPr>
          <w:trHeight w:val="660" w:hRule="atLeast"/>
        </w:trPr>
        <w:tc>
          <w:tcPr>
            <w:tcW w:w="9938" w:type="dxa"/>
            <w:gridSpan w:val="6"/>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宋体" w:hAnsi="宋体" w:cs="宋体" w:eastAsiaTheme="minorEastAsia"/>
                <w:b/>
                <w:bCs/>
                <w:color w:val="000000"/>
                <w:kern w:val="0"/>
                <w:sz w:val="32"/>
                <w:szCs w:val="32"/>
                <w:lang w:eastAsia="zh-CN"/>
              </w:rPr>
            </w:pPr>
            <w:bookmarkStart w:id="171" w:name="_Toc313008357"/>
            <w:bookmarkStart w:id="172" w:name="_Toc342913420"/>
            <w:bookmarkStart w:id="173" w:name="_Toc485108797"/>
            <w:bookmarkStart w:id="174" w:name="_Toc313888361"/>
            <w:bookmarkStart w:id="175" w:name="_Toc13014"/>
            <w:bookmarkStart w:id="176" w:name="_Toc480979019"/>
            <w:r>
              <w:rPr>
                <w:rFonts w:hint="eastAsia" w:ascii="微软雅黑" w:hAnsi="微软雅黑" w:eastAsia="微软雅黑" w:cs="微软雅黑"/>
                <w:color w:val="000000" w:themeColor="text1"/>
                <w:sz w:val="24"/>
                <w:szCs w:val="24"/>
                <w:lang w:eastAsia="zh-CN"/>
                <w14:textFill>
                  <w14:solidFill>
                    <w14:schemeClr w14:val="tx1"/>
                  </w14:solidFill>
                </w14:textFill>
              </w:rPr>
              <w:t>（三）用车确认表</w:t>
            </w:r>
          </w:p>
        </w:tc>
      </w:tr>
      <w:tr>
        <w:tblPrEx>
          <w:tblCellMar>
            <w:top w:w="0" w:type="dxa"/>
            <w:left w:w="108" w:type="dxa"/>
            <w:bottom w:w="0" w:type="dxa"/>
            <w:right w:w="108" w:type="dxa"/>
          </w:tblCellMar>
        </w:tblPrEx>
        <w:trPr>
          <w:trHeight w:val="660" w:hRule="atLeast"/>
        </w:trPr>
        <w:tc>
          <w:tcPr>
            <w:tcW w:w="993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b/>
                <w:bCs/>
                <w:color w:val="000000"/>
                <w:kern w:val="0"/>
                <w:sz w:val="32"/>
                <w:szCs w:val="32"/>
              </w:rPr>
            </w:pPr>
            <w:r>
              <w:rPr>
                <w:rFonts w:hint="eastAsia" w:ascii="宋体" w:hAnsi="宋体" w:cs="宋体"/>
                <w:b/>
                <w:bCs/>
                <w:color w:val="000000"/>
                <w:kern w:val="0"/>
                <w:sz w:val="32"/>
                <w:szCs w:val="32"/>
              </w:rPr>
              <w:t>重庆医科大学附属永川医院车辆租赁确认单</w:t>
            </w:r>
          </w:p>
        </w:tc>
      </w:tr>
      <w:tr>
        <w:tblPrEx>
          <w:tblCellMar>
            <w:top w:w="0" w:type="dxa"/>
            <w:left w:w="108" w:type="dxa"/>
            <w:bottom w:w="0" w:type="dxa"/>
            <w:right w:w="108" w:type="dxa"/>
          </w:tblCellMar>
        </w:tblPrEx>
        <w:trPr>
          <w:trHeight w:val="810" w:hRule="atLeast"/>
        </w:trPr>
        <w:tc>
          <w:tcPr>
            <w:tcW w:w="1149" w:type="dxa"/>
            <w:tcBorders>
              <w:top w:val="single" w:color="000000"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使用日期</w:t>
            </w:r>
          </w:p>
        </w:tc>
        <w:tc>
          <w:tcPr>
            <w:tcW w:w="2127" w:type="dxa"/>
            <w:tcBorders>
              <w:top w:val="single" w:color="000000"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17" w:type="dxa"/>
            <w:tcBorders>
              <w:top w:val="single" w:color="000000"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使用部门</w:t>
            </w:r>
          </w:p>
        </w:tc>
        <w:tc>
          <w:tcPr>
            <w:tcW w:w="1559" w:type="dxa"/>
            <w:tcBorders>
              <w:top w:val="single" w:color="000000"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single" w:color="000000"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用车事由</w:t>
            </w:r>
          </w:p>
        </w:tc>
        <w:tc>
          <w:tcPr>
            <w:tcW w:w="1985" w:type="dxa"/>
            <w:tcBorders>
              <w:top w:val="single" w:color="000000"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810" w:hRule="atLeast"/>
        </w:trPr>
        <w:tc>
          <w:tcPr>
            <w:tcW w:w="11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车辆类型</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出发时间</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返程时间</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810" w:hRule="atLeast"/>
        </w:trPr>
        <w:tc>
          <w:tcPr>
            <w:tcW w:w="11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出车里程</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收车里程</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行驶里程</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810" w:hRule="atLeast"/>
        </w:trPr>
        <w:tc>
          <w:tcPr>
            <w:tcW w:w="11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车辆号牌</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目的地</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驾驶员签字</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810" w:hRule="atLeast"/>
        </w:trPr>
        <w:tc>
          <w:tcPr>
            <w:tcW w:w="11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住宿天数</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使用人电话</w:t>
            </w:r>
          </w:p>
        </w:tc>
        <w:tc>
          <w:tcPr>
            <w:tcW w:w="155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使用人签字</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975" w:hRule="atLeast"/>
        </w:trPr>
        <w:tc>
          <w:tcPr>
            <w:tcW w:w="114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车况、卫生服务评价</w:t>
            </w:r>
          </w:p>
        </w:tc>
        <w:tc>
          <w:tcPr>
            <w:tcW w:w="8789"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630" w:hRule="atLeast"/>
        </w:trPr>
        <w:tc>
          <w:tcPr>
            <w:tcW w:w="9938" w:type="dxa"/>
            <w:gridSpan w:val="6"/>
            <w:tcBorders>
              <w:top w:val="single" w:color="auto" w:sz="4" w:space="0"/>
              <w:left w:val="nil"/>
              <w:bottom w:val="nil"/>
              <w:right w:val="nil"/>
            </w:tcBorders>
            <w:shd w:val="clear" w:color="auto" w:fill="auto"/>
            <w:noWrap/>
            <w:vAlign w:val="bottom"/>
          </w:tcPr>
          <w:p>
            <w:pPr>
              <w:widowControl/>
              <w:jc w:val="left"/>
              <w:rPr>
                <w:rFonts w:ascii="宋体" w:hAnsi="宋体" w:cs="宋体"/>
                <w:color w:val="000000"/>
                <w:kern w:val="0"/>
                <w:sz w:val="22"/>
              </w:rPr>
            </w:pPr>
            <w:r>
              <w:rPr>
                <w:rFonts w:hint="eastAsia" w:ascii="宋体" w:hAnsi="宋体" w:cs="宋体"/>
                <w:color w:val="000000"/>
                <w:kern w:val="0"/>
                <w:sz w:val="22"/>
              </w:rPr>
              <w:t>备注：</w:t>
            </w:r>
          </w:p>
          <w:p>
            <w:pPr>
              <w:widowControl/>
              <w:jc w:val="left"/>
              <w:rPr>
                <w:rFonts w:ascii="宋体" w:hAnsi="宋体" w:cs="宋体"/>
                <w:color w:val="000000"/>
                <w:kern w:val="0"/>
                <w:sz w:val="22"/>
              </w:rPr>
            </w:pPr>
            <w:r>
              <w:rPr>
                <w:rFonts w:hint="eastAsia" w:ascii="宋体" w:hAnsi="宋体" w:cs="宋体"/>
                <w:color w:val="000000"/>
                <w:kern w:val="0"/>
                <w:sz w:val="22"/>
              </w:rPr>
              <w:t xml:space="preserve">1、该确认作为结算依据，无该确认单不予结算。  </w:t>
            </w:r>
          </w:p>
          <w:p>
            <w:pPr>
              <w:widowControl/>
              <w:jc w:val="left"/>
              <w:rPr>
                <w:rFonts w:ascii="宋体" w:hAnsi="宋体" w:cs="宋体"/>
                <w:color w:val="000000"/>
                <w:kern w:val="0"/>
                <w:sz w:val="22"/>
              </w:rPr>
            </w:pPr>
            <w:r>
              <w:rPr>
                <w:rFonts w:hint="eastAsia" w:ascii="宋体" w:hAnsi="宋体" w:cs="宋体"/>
                <w:color w:val="000000"/>
                <w:kern w:val="0"/>
                <w:sz w:val="22"/>
              </w:rPr>
              <w:t>2、使用人、驾驶员应如实填写车辆使用情况</w:t>
            </w:r>
          </w:p>
        </w:tc>
      </w:tr>
    </w:tbl>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4"/>
        <w:bidi w:val="0"/>
        <w:rPr>
          <w:rFonts w:hint="eastAsia" w:ascii="微软雅黑" w:hAnsi="微软雅黑" w:eastAsia="微软雅黑" w:cs="微软雅黑"/>
          <w:color w:val="000000" w:themeColor="text1"/>
          <w:sz w:val="21"/>
          <w:szCs w:val="21"/>
          <w14:textFill>
            <w14:solidFill>
              <w14:schemeClr w14:val="tx1"/>
            </w14:solidFill>
          </w14:textFill>
        </w:rPr>
      </w:pPr>
      <w:bookmarkStart w:id="177" w:name="_Toc13380"/>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71"/>
      <w:bookmarkEnd w:id="172"/>
      <w:bookmarkEnd w:id="173"/>
      <w:bookmarkEnd w:id="174"/>
      <w:bookmarkEnd w:id="175"/>
      <w:bookmarkEnd w:id="176"/>
      <w:bookmarkEnd w:id="177"/>
    </w:p>
    <w:p>
      <w:pPr>
        <w:pageBreakBefore w:val="0"/>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（一）按照“第三篇  项目服务需求”提供相应资料</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4"/>
          <w14:textFill>
            <w14:solidFill>
              <w14:schemeClr w14:val="tx1"/>
            </w14:solidFill>
          </w14:textFill>
        </w:rPr>
        <w:br w:type="page"/>
      </w: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采购需求</w:t>
            </w: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响应情况</w:t>
            </w: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1"/>
                <w14:textFill>
                  <w14:solidFill>
                    <w14:schemeClr w14:val="tx1"/>
                  </w14:solidFill>
                </w14:textFill>
              </w:rPr>
            </w:pPr>
          </w:p>
        </w:tc>
      </w:tr>
    </w:tbl>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.本表即为对本项目“第三篇  项目服务需求”中所列技术要求进行比较和响应；</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w:t>
      </w:r>
      <w:r>
        <w:rPr>
          <w:rFonts w:hint="eastAsia" w:ascii="微软雅黑" w:hAnsi="微软雅黑" w:eastAsia="微软雅黑" w:cs="微软雅黑"/>
          <w:color w:val="000000" w:themeColor="text1"/>
          <w:sz w:val="24"/>
          <w:szCs w:val="28"/>
          <w14:textFill>
            <w14:solidFill>
              <w14:schemeClr w14:val="tx1"/>
            </w14:solidFill>
          </w14:textFill>
        </w:rPr>
        <w:t>，并逐页签字或盖章</w:t>
      </w:r>
      <w:r>
        <w:rPr>
          <w:rFonts w:hint="eastAsia" w:ascii="微软雅黑" w:hAnsi="微软雅黑" w:eastAsia="微软雅黑" w:cs="微软雅黑"/>
          <w:color w:val="000000" w:themeColor="text1"/>
          <w:sz w:val="24"/>
          <w:szCs w:val="20"/>
          <w14:textFill>
            <w14:solidFill>
              <w14:schemeClr w14:val="tx1"/>
            </w14:solidFill>
          </w14:textFill>
        </w:rPr>
        <w:t>；</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4.可附相关技术支撑材料。（格式自定）</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5.若“响应情况”栏中仅填写“无偏离”或“有偏离”等内容而未作实质性参数描述，该供应商将</w:t>
      </w:r>
      <w:r>
        <w:rPr>
          <w:rFonts w:hint="eastAsia" w:ascii="微软雅黑" w:hAnsi="微软雅黑" w:eastAsia="微软雅黑" w:cs="微软雅黑"/>
          <w:color w:val="000000" w:themeColor="text1"/>
          <w:sz w:val="24"/>
          <w:szCs w:val="24"/>
          <w14:textFill>
            <w14:solidFill>
              <w14:schemeClr w14:val="tx1"/>
            </w14:solidFill>
          </w14:textFill>
        </w:rPr>
        <w:t>失去成为成交供应商的资格，仅保留其合格供应商的身份。</w:t>
      </w:r>
    </w:p>
    <w:p>
      <w:pPr>
        <w:keepNext/>
        <w:keepLines/>
        <w:pageBreakBefore w:val="0"/>
        <w:kinsoku/>
        <w:wordWrap/>
        <w:overflowPunct/>
        <w:topLinePunct w:val="0"/>
        <w:bidi w:val="0"/>
        <w:spacing w:line="240" w:lineRule="auto"/>
        <w:ind w:firstLine="640" w:firstLineChars="200"/>
        <w:outlineLvl w:val="2"/>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32"/>
          <w:szCs w:val="20"/>
          <w14:textFill>
            <w14:solidFill>
              <w14:schemeClr w14:val="tx1"/>
            </w14:solidFill>
          </w14:textFill>
        </w:rPr>
        <w:br w:type="page"/>
      </w:r>
      <w:bookmarkStart w:id="178" w:name="_Toc313008358"/>
      <w:bookmarkStart w:id="179" w:name="_Toc313888362"/>
      <w:bookmarkStart w:id="180" w:name="_Toc342913421"/>
      <w:bookmarkStart w:id="181" w:name="_Toc480979020"/>
      <w:bookmarkStart w:id="182" w:name="_Toc485108798"/>
      <w:bookmarkStart w:id="183" w:name="_Toc32650"/>
      <w:bookmarkStart w:id="184" w:name="_Toc6095"/>
      <w:r>
        <w:rPr>
          <w:rStyle w:val="70"/>
          <w:rFonts w:hint="eastAsia" w:ascii="微软雅黑" w:hAnsi="微软雅黑" w:eastAsia="微软雅黑" w:cs="微软雅黑"/>
          <w:color w:val="000000" w:themeColor="text1"/>
          <w:sz w:val="24"/>
          <w:szCs w:val="24"/>
          <w14:textFill>
            <w14:solidFill>
              <w14:schemeClr w14:val="tx1"/>
            </w14:solidFill>
          </w14:textFill>
        </w:rPr>
        <w:t>三、商务部分</w:t>
      </w:r>
      <w:bookmarkEnd w:id="178"/>
      <w:bookmarkEnd w:id="179"/>
      <w:bookmarkEnd w:id="180"/>
      <w:bookmarkEnd w:id="181"/>
      <w:bookmarkEnd w:id="182"/>
      <w:bookmarkEnd w:id="183"/>
      <w:bookmarkEnd w:id="184"/>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pageBreakBefore w:val="0"/>
        <w:kinsoku/>
        <w:wordWrap/>
        <w:overflowPunct/>
        <w:topLinePunct w:val="0"/>
        <w:bidi w:val="0"/>
        <w:snapToGrid w:val="0"/>
        <w:spacing w:line="240" w:lineRule="auto"/>
        <w:ind w:firstLine="560" w:firstLineChars="200"/>
        <w:rPr>
          <w:rFonts w:hint="eastAsia" w:ascii="微软雅黑" w:hAnsi="微软雅黑" w:eastAsia="微软雅黑" w:cs="微软雅黑"/>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85" w:name="_Toc283382459"/>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pageBreakBefore w:val="0"/>
        <w:kinsoku/>
        <w:wordWrap/>
        <w:overflowPunct/>
        <w:topLinePunct w:val="0"/>
        <w:bidi w:val="0"/>
        <w:snapToGrid w:val="0"/>
        <w:spacing w:line="240" w:lineRule="auto"/>
        <w:ind w:firstLine="560" w:firstLineChars="200"/>
        <w:jc w:val="center"/>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商务响应偏离表</w:t>
      </w:r>
    </w:p>
    <w:p>
      <w:pPr>
        <w:pageBreakBefore w:val="0"/>
        <w:kinsoku/>
        <w:wordWrap/>
        <w:overflowPunct/>
        <w:topLinePunct w:val="0"/>
        <w:bidi w:val="0"/>
        <w:snapToGrid w:val="0"/>
        <w:spacing w:line="240" w:lineRule="auto"/>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w:t>
      </w:r>
    </w:p>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r>
              <w:rPr>
                <w:rFonts w:hint="eastAsia" w:ascii="微软雅黑" w:hAnsi="微软雅黑" w:eastAsia="微软雅黑" w:cs="微软雅黑"/>
                <w:color w:val="000000" w:themeColor="text1"/>
                <w:szCs w:val="24"/>
                <w14:textFill>
                  <w14:solidFill>
                    <w14:schemeClr w14:val="tx1"/>
                  </w14:solidFill>
                </w14:textFill>
              </w:rPr>
              <w:t>序号</w:t>
            </w: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r>
              <w:rPr>
                <w:rFonts w:hint="eastAsia" w:ascii="微软雅黑" w:hAnsi="微软雅黑" w:eastAsia="微软雅黑" w:cs="微软雅黑"/>
                <w:color w:val="000000" w:themeColor="text1"/>
                <w:szCs w:val="24"/>
                <w14:textFill>
                  <w14:solidFill>
                    <w14:schemeClr w14:val="tx1"/>
                  </w14:solidFill>
                </w14:textFill>
              </w:rPr>
              <w:t>比选项目需求</w:t>
            </w: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r>
              <w:rPr>
                <w:rFonts w:hint="eastAsia" w:ascii="微软雅黑" w:hAnsi="微软雅黑" w:eastAsia="微软雅黑" w:cs="微软雅黑"/>
                <w:color w:val="000000" w:themeColor="text1"/>
                <w:szCs w:val="24"/>
                <w14:textFill>
                  <w14:solidFill>
                    <w14:schemeClr w14:val="tx1"/>
                  </w14:solidFill>
                </w14:textFill>
              </w:rPr>
              <w:t>响应情况</w:t>
            </w: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r>
              <w:rPr>
                <w:rFonts w:hint="eastAsia" w:ascii="微软雅黑" w:hAnsi="微软雅黑" w:eastAsia="微软雅黑" w:cs="微软雅黑"/>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pageBreakBefore w:val="0"/>
              <w:tabs>
                <w:tab w:val="left" w:pos="6300"/>
              </w:tabs>
              <w:kinsoku/>
              <w:wordWrap/>
              <w:overflowPunct/>
              <w:topLinePunct w:val="0"/>
              <w:bidi w:val="0"/>
              <w:snapToGrid w:val="0"/>
              <w:spacing w:line="240" w:lineRule="auto"/>
              <w:ind w:firstLine="420" w:firstLineChars="200"/>
              <w:jc w:val="center"/>
              <w:outlineLvl w:val="0"/>
              <w:rPr>
                <w:rFonts w:hint="eastAsia" w:ascii="微软雅黑" w:hAnsi="微软雅黑" w:eastAsia="微软雅黑" w:cs="微软雅黑"/>
                <w:color w:val="000000" w:themeColor="text1"/>
                <w:szCs w:val="24"/>
                <w14:textFill>
                  <w14:solidFill>
                    <w14:schemeClr w14:val="tx1"/>
                  </w14:solidFill>
                </w14:textFill>
              </w:rPr>
            </w:pPr>
          </w:p>
        </w:tc>
      </w:tr>
    </w:tbl>
    <w:p>
      <w:pPr>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.本表即为对本项目“第四篇 项目</w:t>
      </w:r>
      <w:r>
        <w:rPr>
          <w:rFonts w:hint="eastAsia" w:ascii="微软雅黑" w:hAnsi="微软雅黑" w:eastAsia="微软雅黑" w:cs="微软雅黑"/>
          <w:color w:val="000000" w:themeColor="text1"/>
          <w:sz w:val="24"/>
          <w:szCs w:val="20"/>
          <w:lang w:eastAsia="zh-CN"/>
          <w14:textFill>
            <w14:solidFill>
              <w14:schemeClr w14:val="tx1"/>
            </w14:solidFill>
          </w14:textFill>
        </w:rPr>
        <w:t>商务</w:t>
      </w:r>
      <w:r>
        <w:rPr>
          <w:rFonts w:hint="eastAsia" w:ascii="微软雅黑" w:hAnsi="微软雅黑" w:eastAsia="微软雅黑" w:cs="微软雅黑"/>
          <w:color w:val="000000" w:themeColor="text1"/>
          <w:sz w:val="24"/>
          <w:szCs w:val="20"/>
          <w14:textFill>
            <w14:solidFill>
              <w14:schemeClr w14:val="tx1"/>
            </w14:solidFill>
          </w14:textFill>
        </w:rPr>
        <w:t>需求”中所列服务要求进行比较和响应；</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w:t>
      </w:r>
      <w:r>
        <w:rPr>
          <w:rFonts w:hint="eastAsia" w:ascii="微软雅黑" w:hAnsi="微软雅黑" w:eastAsia="微软雅黑" w:cs="微软雅黑"/>
          <w:color w:val="000000" w:themeColor="text1"/>
          <w:sz w:val="24"/>
          <w:szCs w:val="28"/>
          <w14:textFill>
            <w14:solidFill>
              <w14:schemeClr w14:val="tx1"/>
            </w14:solidFill>
          </w14:textFill>
        </w:rPr>
        <w:t>，并逐页签字或盖章</w:t>
      </w:r>
      <w:r>
        <w:rPr>
          <w:rFonts w:hint="eastAsia" w:ascii="微软雅黑" w:hAnsi="微软雅黑" w:eastAsia="微软雅黑" w:cs="微软雅黑"/>
          <w:color w:val="000000" w:themeColor="text1"/>
          <w:sz w:val="24"/>
          <w:szCs w:val="20"/>
          <w14:textFill>
            <w14:solidFill>
              <w14:schemeClr w14:val="tx1"/>
            </w14:solidFill>
          </w14:textFill>
        </w:rPr>
        <w:t>；</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w:t>
      </w:r>
      <w:r>
        <w:rPr>
          <w:rFonts w:hint="eastAsia" w:ascii="微软雅黑" w:hAnsi="微软雅黑" w:eastAsia="微软雅黑" w:cs="微软雅黑"/>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kinsoku/>
        <w:wordWrap/>
        <w:overflowPunct/>
        <w:topLinePunct w:val="0"/>
        <w:bidi w:val="0"/>
        <w:spacing w:line="240" w:lineRule="auto"/>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r>
        <w:rPr>
          <w:rFonts w:hint="eastAsia" w:ascii="微软雅黑" w:hAnsi="微软雅黑" w:eastAsia="微软雅黑" w:cs="微软雅黑"/>
          <w:color w:val="000000" w:themeColor="text1"/>
          <w:sz w:val="24"/>
          <w:szCs w:val="24"/>
          <w14:textFill>
            <w14:solidFill>
              <w14:schemeClr w14:val="tx1"/>
            </w14:solidFill>
          </w14:textFill>
        </w:rPr>
        <w:t>（三）其它优惠承诺（格式自定）</w:t>
      </w:r>
    </w:p>
    <w:p>
      <w:pPr>
        <w:keepNext/>
        <w:keepLines/>
        <w:pageBreakBefore w:val="0"/>
        <w:kinsoku/>
        <w:wordWrap/>
        <w:overflowPunct/>
        <w:topLinePunct w:val="0"/>
        <w:bidi w:val="0"/>
        <w:spacing w:line="240" w:lineRule="auto"/>
        <w:ind w:firstLine="480" w:firstLineChars="200"/>
        <w:outlineLvl w:val="2"/>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br w:type="page"/>
      </w:r>
      <w:bookmarkEnd w:id="185"/>
      <w:bookmarkStart w:id="186" w:name="_Toc485108799"/>
      <w:bookmarkStart w:id="187" w:name="_Toc480979021"/>
      <w:bookmarkStart w:id="188" w:name="_Toc29458"/>
      <w:bookmarkStart w:id="189" w:name="_Toc20589"/>
      <w:bookmarkStart w:id="190" w:name="_Toc313008359"/>
      <w:bookmarkStart w:id="191" w:name="_Toc342913422"/>
      <w:bookmarkStart w:id="192" w:name="_Toc313888363"/>
      <w:r>
        <w:rPr>
          <w:rStyle w:val="70"/>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86"/>
      <w:bookmarkEnd w:id="187"/>
      <w:bookmarkEnd w:id="188"/>
      <w:bookmarkEnd w:id="189"/>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（一）营业执照（副本）</w:t>
      </w:r>
      <w:r>
        <w:rPr>
          <w:rFonts w:hint="eastAsia" w:ascii="微软雅黑" w:hAnsi="微软雅黑" w:eastAsia="微软雅黑" w:cs="微软雅黑"/>
          <w:color w:val="000000" w:themeColor="text1"/>
          <w:sz w:val="28"/>
          <w:szCs w:val="28"/>
          <w14:textFill>
            <w14:solidFill>
              <w14:schemeClr w14:val="tx1"/>
            </w14:solidFill>
          </w14:textFill>
        </w:rPr>
        <w:t>或事业单位法人证书（副本）</w:t>
      </w:r>
      <w:r>
        <w:rPr>
          <w:rFonts w:hint="eastAsia" w:ascii="微软雅黑" w:hAnsi="微软雅黑" w:eastAsia="微软雅黑" w:cs="微软雅黑"/>
          <w:color w:val="000000" w:themeColor="text1"/>
          <w:sz w:val="28"/>
          <w:szCs w:val="20"/>
          <w14:textFill>
            <w14:solidFill>
              <w14:schemeClr w14:val="tx1"/>
            </w14:solidFill>
          </w14:textFill>
        </w:rPr>
        <w:t>复印件</w:t>
      </w:r>
      <w:r>
        <w:rPr>
          <w:rFonts w:hint="eastAsia" w:ascii="微软雅黑" w:hAnsi="微软雅黑" w:eastAsia="微软雅黑" w:cs="微软雅黑"/>
          <w:color w:val="000000" w:themeColor="text1"/>
          <w:sz w:val="24"/>
          <w:szCs w:val="24"/>
          <w14:textFill>
            <w14:solidFill>
              <w14:schemeClr w14:val="tx1"/>
            </w14:solidFill>
          </w14:textFill>
        </w:rPr>
        <w:t>或个体工商户营业执照或有效的自然人身份证明或社会团体法人登记证书复印件</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（二）组织机构代码证复印件</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widowControl/>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r>
        <w:rPr>
          <w:rFonts w:hint="eastAsia" w:ascii="微软雅黑" w:hAnsi="微软雅黑" w:eastAsia="微软雅黑" w:cs="微软雅黑"/>
          <w:color w:val="000000" w:themeColor="text1"/>
          <w:sz w:val="28"/>
          <w:szCs w:val="20"/>
          <w14:textFill>
            <w14:solidFill>
              <w14:schemeClr w14:val="tx1"/>
            </w14:solidFill>
          </w14:textFill>
        </w:rPr>
        <w:t>（三）法定代表人身份证明书（格式）</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项目名称：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（法定代表人姓名）在</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（供应商名称）任</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（职务名称）职务，是（供应商名称）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的法定代表人。</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特此证明。</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（供应商公章）</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年   月   日</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（附：法定代表人身份证正反面复印件）</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（四）法定代表人授权委托书（格式）</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（供应商法定代表人名称）是</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（供应商名称）的法定代表人，特授权</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我单位对被授权人的签字负全部责任。</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被授权人：                                 供应商法定代表人：</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（签字或盖章）                                （签字或盖章）</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（附：被授权人身份证正反面复印件）</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right="480" w:firstLine="480" w:firstLineChars="20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（供应商公章）</w:t>
      </w:r>
    </w:p>
    <w:p>
      <w:pPr>
        <w:pageBreakBefore w:val="0"/>
        <w:tabs>
          <w:tab w:val="left" w:pos="6300"/>
        </w:tabs>
        <w:kinsoku/>
        <w:wordWrap/>
        <w:overflowPunct/>
        <w:topLinePunct w:val="0"/>
        <w:bidi w:val="0"/>
        <w:snapToGrid w:val="0"/>
        <w:spacing w:line="240" w:lineRule="auto"/>
        <w:ind w:right="480" w:firstLine="480" w:firstLineChars="20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年   月   日</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2020或2021年度财务状况报告（表）或其基本开户银行出具的资信证明复印件，本年度新成立或成立不满一年的组织和自然人无法提供财务状况报告（表）的，可提供银行出具的资信证明复印件。</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jc w:val="center"/>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（六）书面声明</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pageBreakBefore w:val="0"/>
        <w:kinsoku/>
        <w:wordWrap/>
        <w:overflowPunct/>
        <w:topLinePunct w:val="0"/>
        <w:bidi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特此声明。</w:t>
      </w:r>
    </w:p>
    <w:p>
      <w:pPr>
        <w:pageBreakBefore w:val="0"/>
        <w:tabs>
          <w:tab w:val="left" w:pos="6300"/>
        </w:tabs>
        <w:kinsoku/>
        <w:wordWrap/>
        <w:overflowPunct/>
        <w:topLinePunct w:val="0"/>
        <w:bidi w:val="0"/>
        <w:snapToGrid w:val="0"/>
        <w:spacing w:line="240" w:lineRule="auto"/>
        <w:ind w:firstLine="480" w:firstLineChars="200"/>
        <w:jc w:val="center"/>
        <w:rPr>
          <w:rFonts w:hint="eastAsia" w:ascii="微软雅黑" w:hAnsi="微软雅黑" w:eastAsia="微软雅黑" w:cs="微软雅黑"/>
          <w:color w:val="000000" w:themeColor="text1"/>
          <w:sz w:val="24"/>
          <w:szCs w:val="28"/>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w:t>
      </w:r>
    </w:p>
    <w:p>
      <w:pPr>
        <w:pageBreakBefore w:val="0"/>
        <w:tabs>
          <w:tab w:val="left" w:pos="6300"/>
        </w:tabs>
        <w:kinsoku/>
        <w:wordWrap/>
        <w:overflowPunct/>
        <w:topLinePunct w:val="0"/>
        <w:bidi w:val="0"/>
        <w:snapToGrid w:val="0"/>
        <w:spacing w:line="240" w:lineRule="auto"/>
        <w:ind w:right="36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p>
    <w:p>
      <w:pPr>
        <w:pageBreakBefore w:val="0"/>
        <w:tabs>
          <w:tab w:val="left" w:pos="6300"/>
        </w:tabs>
        <w:kinsoku/>
        <w:wordWrap/>
        <w:overflowPunct/>
        <w:topLinePunct w:val="0"/>
        <w:bidi w:val="0"/>
        <w:snapToGrid w:val="0"/>
        <w:spacing w:line="240" w:lineRule="auto"/>
        <w:ind w:right="132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年   月   日</w:t>
      </w: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480" w:firstLineChars="200"/>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outlineLvl w:val="0"/>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bookmarkStart w:id="193" w:name="OLE_LINK7"/>
      <w:bookmarkStart w:id="194" w:name="OLE_LINK4"/>
      <w:r>
        <w:rPr>
          <w:rFonts w:hint="eastAsia" w:ascii="微软雅黑" w:hAnsi="微软雅黑" w:eastAsia="微软雅黑" w:cs="微软雅黑"/>
          <w:color w:val="000000" w:themeColor="text1"/>
          <w:sz w:val="28"/>
          <w:szCs w:val="20"/>
          <w14:textFill>
            <w14:solidFill>
              <w14:schemeClr w14:val="tx1"/>
            </w14:solidFill>
          </w14:textFill>
        </w:rPr>
        <w:t>（七）税务登记证（副本）复印件</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（八）社会保险缴纳证明材料</w:t>
      </w:r>
    </w:p>
    <w:p>
      <w:pPr>
        <w:pageBreakBefore w:val="0"/>
        <w:widowControl/>
        <w:kinsoku/>
        <w:wordWrap/>
        <w:overflowPunct/>
        <w:topLinePunct w:val="0"/>
        <w:bidi w:val="0"/>
        <w:spacing w:line="240" w:lineRule="auto"/>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bookmarkEnd w:id="190"/>
    <w:bookmarkEnd w:id="191"/>
    <w:bookmarkEnd w:id="192"/>
    <w:bookmarkEnd w:id="193"/>
    <w:bookmarkEnd w:id="194"/>
    <w:p>
      <w:pPr>
        <w:pageBreakBefore w:val="0"/>
        <w:tabs>
          <w:tab w:val="left" w:pos="6300"/>
        </w:tabs>
        <w:kinsoku/>
        <w:wordWrap/>
        <w:overflowPunct/>
        <w:topLinePunct w:val="0"/>
        <w:bidi w:val="0"/>
        <w:snapToGrid w:val="0"/>
        <w:spacing w:line="24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jc w:val="both"/>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p>
    <w:p>
      <w:pPr>
        <w:rPr>
          <w:rFonts w:hint="eastAsia" w:ascii="方正仿宋_GBK" w:hAnsi="宋体" w:eastAsia="方正仿宋_GBK"/>
          <w:color w:val="000000" w:themeColor="text1"/>
          <w:sz w:val="24"/>
          <w:szCs w:val="24"/>
          <w:lang w:val="en-US" w:eastAsia="zh-CN"/>
          <w14:textFill>
            <w14:solidFill>
              <w14:schemeClr w14:val="tx1"/>
            </w14:solidFill>
          </w14:textFill>
        </w:rPr>
      </w:pPr>
    </w:p>
    <w:p>
      <w:pPr>
        <w:pageBreakBefore w:val="0"/>
        <w:kinsoku/>
        <w:wordWrap/>
        <w:overflowPunct/>
        <w:topLinePunct w:val="0"/>
        <w:bidi w:val="0"/>
        <w:spacing w:line="240" w:lineRule="auto"/>
        <w:ind w:firstLine="42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1206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962015" cy="3254375"/>
                    </a:xfrm>
                    <a:prstGeom prst="rect">
                      <a:avLst/>
                    </a:prstGeom>
                    <a:noFill/>
                    <a:ln>
                      <a:noFill/>
                    </a:ln>
                  </pic:spPr>
                </pic:pic>
              </a:graphicData>
            </a:graphic>
          </wp:inline>
        </w:drawing>
      </w: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jc w:val="left"/>
        <w:rPr>
          <w:rFonts w:hint="eastAsia" w:ascii="微软雅黑" w:hAnsi="微软雅黑" w:eastAsia="微软雅黑" w:cs="微软雅黑"/>
          <w:color w:val="000000" w:themeColor="text1"/>
          <w:sz w:val="28"/>
          <w:szCs w:val="28"/>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jc w:val="left"/>
        <w:rPr>
          <w:rFonts w:hint="eastAsia" w:ascii="微软雅黑" w:hAnsi="微软雅黑" w:eastAsia="微软雅黑" w:cs="微软雅黑"/>
          <w:color w:val="000000" w:themeColor="text1"/>
          <w:sz w:val="28"/>
          <w:szCs w:val="28"/>
          <w14:textFill>
            <w14:solidFill>
              <w14:schemeClr w14:val="tx1"/>
            </w14:solidFill>
          </w14:textFill>
        </w:rPr>
      </w:pPr>
    </w:p>
    <w:p>
      <w:pPr>
        <w:rPr>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42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673725" cy="3394710"/>
            <wp:effectExtent l="0" t="0" r="1079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673725" cy="3394710"/>
                    </a:xfrm>
                    <a:prstGeom prst="rect">
                      <a:avLst/>
                    </a:prstGeom>
                    <a:noFill/>
                    <a:ln>
                      <a:noFill/>
                    </a:ln>
                  </pic:spPr>
                </pic:pic>
              </a:graphicData>
            </a:graphic>
          </wp:inline>
        </w:drawing>
      </w: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8"/>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8"/>
          <w14:textFill>
            <w14:solidFill>
              <w14:schemeClr w14:val="tx1"/>
            </w14:solidFill>
          </w14:textFill>
        </w:rPr>
      </w:pPr>
    </w:p>
    <w:p>
      <w:pPr>
        <w:rPr>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420" w:firstLineChars="200"/>
        <w:jc w:val="left"/>
        <w:rPr>
          <w:rFonts w:hint="eastAsia" w:ascii="微软雅黑" w:hAnsi="微软雅黑" w:eastAsia="微软雅黑" w:cs="微软雅黑"/>
          <w:color w:val="000000" w:themeColor="text1"/>
          <w:sz w:val="28"/>
          <w:szCs w:val="2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r>
        <w:rPr>
          <w:color w:val="000000" w:themeColor="text1"/>
          <w14:textFill>
            <w14:solidFill>
              <w14:schemeClr w14:val="tx1"/>
            </w14:solidFill>
          </w14:textFill>
        </w:rPr>
        <w:drawing>
          <wp:inline distT="0" distB="0" distL="114300" distR="114300">
            <wp:extent cx="5962015" cy="3254375"/>
            <wp:effectExtent l="0" t="0" r="1206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中国政府采购网--</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p>
    <w:p>
      <w:pPr>
        <w:pageBreakBefore w:val="0"/>
        <w:kinsoku/>
        <w:wordWrap/>
        <w:overflowPunct/>
        <w:topLinePunct w:val="0"/>
        <w:bidi w:val="0"/>
        <w:spacing w:line="240" w:lineRule="auto"/>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p>
    <w:p>
      <w:pPr>
        <w:pageBreakBefore w:val="0"/>
        <w:kinsoku/>
        <w:wordWrap/>
        <w:overflowPunct/>
        <w:topLinePunct w:val="0"/>
        <w:bidi w:val="0"/>
        <w:spacing w:line="240" w:lineRule="auto"/>
        <w:ind w:firstLine="420" w:firstLineChars="200"/>
        <w:jc w:val="left"/>
        <w:rPr>
          <w:rFonts w:hint="eastAsia" w:ascii="微软雅黑" w:hAnsi="微软雅黑" w:eastAsia="微软雅黑" w:cs="微软雅黑"/>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r>
        <w:rPr>
          <w:color w:val="000000" w:themeColor="text1"/>
          <w14:textFill>
            <w14:solidFill>
              <w14:schemeClr w14:val="tx1"/>
            </w14:solidFill>
          </w14:textFill>
        </w:rPr>
        <w:drawing>
          <wp:inline distT="0" distB="0" distL="114300" distR="114300">
            <wp:extent cx="5962015" cy="3254375"/>
            <wp:effectExtent l="0" t="0" r="1206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pageBreakBefore w:val="0"/>
        <w:kinsoku/>
        <w:wordWrap/>
        <w:overflowPunct/>
        <w:topLinePunct w:val="0"/>
        <w:bidi w:val="0"/>
        <w:spacing w:line="240" w:lineRule="auto"/>
        <w:jc w:val="both"/>
        <w:rPr>
          <w:rFonts w:hint="eastAsia" w:ascii="微软雅黑" w:hAnsi="微软雅黑" w:eastAsia="微软雅黑" w:cs="微软雅黑"/>
          <w:color w:val="000000" w:themeColor="text1"/>
          <w:sz w:val="28"/>
          <w:szCs w:val="20"/>
          <w14:textFill>
            <w14:solidFill>
              <w14:schemeClr w14:val="tx1"/>
            </w14:solidFill>
          </w14:textFill>
        </w:rPr>
      </w:pPr>
    </w:p>
    <w:p>
      <w:pPr>
        <w:pStyle w:val="2"/>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bookmarkStart w:id="195" w:name="_Toc3204"/>
      <w:bookmarkStart w:id="196" w:name="_Toc30608"/>
      <w:r>
        <w:rPr>
          <w:rFonts w:hint="eastAsia" w:ascii="微软雅黑" w:hAnsi="微软雅黑" w:eastAsia="微软雅黑" w:cs="微软雅黑"/>
          <w:color w:val="000000" w:themeColor="text1"/>
          <w:sz w:val="36"/>
          <w:szCs w:val="36"/>
          <w:lang w:val="en-US" w:eastAsia="zh-CN"/>
          <w14:textFill>
            <w14:solidFill>
              <w14:schemeClr w14:val="tx1"/>
            </w14:solidFill>
          </w14:textFill>
        </w:rPr>
        <w:t>重庆医科大学附属永川医院</w:t>
      </w:r>
      <w:bookmarkEnd w:id="195"/>
    </w:p>
    <w:p>
      <w:pPr>
        <w:pStyle w:val="2"/>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bookmarkStart w:id="197" w:name="_Toc14175"/>
      <w:r>
        <w:rPr>
          <w:rFonts w:hint="eastAsia" w:ascii="微软雅黑" w:hAnsi="微软雅黑" w:eastAsia="微软雅黑" w:cs="微软雅黑"/>
          <w:color w:val="000000" w:themeColor="text1"/>
          <w:sz w:val="36"/>
          <w:szCs w:val="36"/>
          <w:lang w:val="en-US" w:eastAsia="zh-CN"/>
          <w14:textFill>
            <w14:solidFill>
              <w14:schemeClr w14:val="tx1"/>
            </w14:solidFill>
          </w14:textFill>
        </w:rPr>
        <w:t>参加医院院内采购活动来院人员</w:t>
      </w:r>
      <w:bookmarkEnd w:id="197"/>
    </w:p>
    <w:p>
      <w:pPr>
        <w:pStyle w:val="2"/>
        <w:bidi w:val="0"/>
        <w:jc w:val="center"/>
        <w:rPr>
          <w:rFonts w:hint="eastAsia" w:ascii="微软雅黑" w:hAnsi="微软雅黑" w:eastAsia="微软雅黑" w:cs="微软雅黑"/>
          <w:color w:val="000000" w:themeColor="text1"/>
          <w:sz w:val="36"/>
          <w:szCs w:val="36"/>
          <w:lang w:eastAsia="zh-CN"/>
          <w14:textFill>
            <w14:solidFill>
              <w14:schemeClr w14:val="tx1"/>
            </w14:solidFill>
          </w14:textFill>
        </w:rPr>
      </w:pPr>
      <w:bookmarkStart w:id="198" w:name="_Toc9880"/>
      <w:r>
        <w:rPr>
          <w:rFonts w:hint="eastAsia" w:ascii="微软雅黑" w:hAnsi="微软雅黑" w:eastAsia="微软雅黑" w:cs="微软雅黑"/>
          <w:color w:val="000000" w:themeColor="text1"/>
          <w:sz w:val="36"/>
          <w:szCs w:val="36"/>
          <w14:textFill>
            <w14:solidFill>
              <w14:schemeClr w14:val="tx1"/>
            </w14:solidFill>
          </w14:textFill>
        </w:rPr>
        <w:t>新冠肺炎疫情防控工作</w:t>
      </w:r>
      <w:r>
        <w:rPr>
          <w:rFonts w:hint="eastAsia" w:ascii="微软雅黑" w:hAnsi="微软雅黑" w:eastAsia="微软雅黑" w:cs="微软雅黑"/>
          <w:color w:val="000000" w:themeColor="text1"/>
          <w:sz w:val="36"/>
          <w:szCs w:val="36"/>
          <w:lang w:eastAsia="zh-CN"/>
          <w14:textFill>
            <w14:solidFill>
              <w14:schemeClr w14:val="tx1"/>
            </w14:solidFill>
          </w14:textFill>
        </w:rPr>
        <w:t>告知书</w:t>
      </w:r>
      <w:bookmarkEnd w:id="196"/>
      <w:bookmarkEnd w:id="198"/>
    </w:p>
    <w:p>
      <w:pPr>
        <w:pStyle w:val="35"/>
        <w:rPr>
          <w:rFonts w:hint="eastAsia" w:ascii="微软雅黑" w:hAnsi="微软雅黑" w:eastAsia="微软雅黑" w:cs="微软雅黑"/>
          <w:color w:val="000000" w:themeColor="text1"/>
          <w:lang w:eastAsia="zh-CN"/>
          <w14:textFill>
            <w14:solidFill>
              <w14:schemeClr w14:val="tx1"/>
            </w14:solidFill>
          </w14:textFill>
        </w:rPr>
      </w:pPr>
    </w:p>
    <w:p>
      <w:pPr>
        <w:pStyle w:val="35"/>
        <w:rPr>
          <w:rFonts w:hint="eastAsia" w:ascii="微软雅黑" w:hAnsi="微软雅黑" w:eastAsia="微软雅黑" w:cs="微软雅黑"/>
          <w:color w:val="000000" w:themeColor="text1"/>
          <w14:textFill>
            <w14:solidFill>
              <w14:schemeClr w14:val="tx1"/>
            </w14:solidFill>
          </w14:textFill>
        </w:rPr>
      </w:pPr>
    </w:p>
    <w:p>
      <w:pPr>
        <w:widowControl/>
        <w:spacing w:line="400" w:lineRule="exact"/>
        <w:ind w:firstLine="480" w:firstLineChars="200"/>
        <w:jc w:val="left"/>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为切实保障</w:t>
      </w:r>
      <w:r>
        <w:rPr>
          <w:rFonts w:hint="eastAsia" w:ascii="微软雅黑" w:hAnsi="微软雅黑" w:eastAsia="微软雅黑" w:cs="微软雅黑"/>
          <w:color w:val="000000" w:themeColor="text1"/>
          <w:sz w:val="24"/>
          <w:szCs w:val="24"/>
          <w:lang w:eastAsia="zh-CN"/>
          <w14:textFill>
            <w14:solidFill>
              <w14:schemeClr w14:val="tx1"/>
            </w14:solidFill>
          </w14:textFill>
        </w:rPr>
        <w:t>本院疫情防控安全，维持正常工作</w:t>
      </w:r>
      <w:r>
        <w:rPr>
          <w:rFonts w:hint="eastAsia" w:ascii="微软雅黑" w:hAnsi="微软雅黑" w:eastAsia="微软雅黑" w:cs="微软雅黑"/>
          <w:color w:val="000000" w:themeColor="text1"/>
          <w:sz w:val="24"/>
          <w:szCs w:val="24"/>
          <w14:textFill>
            <w14:solidFill>
              <w14:schemeClr w14:val="tx1"/>
            </w14:solidFill>
          </w14:textFill>
        </w:rPr>
        <w:t>秩序，根据《</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关于做好当前国内重点地区</w:t>
      </w:r>
      <w:r>
        <w:rPr>
          <w:rFonts w:hint="eastAsia" w:ascii="微软雅黑" w:hAnsi="微软雅黑" w:eastAsia="微软雅黑" w:cs="微软雅黑"/>
          <w:color w:val="000000" w:themeColor="text1"/>
          <w:sz w:val="24"/>
          <w:szCs w:val="24"/>
          <w:lang w:eastAsia="zh-CN"/>
          <w14:textFill>
            <w14:solidFill>
              <w14:schemeClr w14:val="tx1"/>
            </w14:solidFill>
          </w14:textFill>
        </w:rPr>
        <w:t>来渝返渝人员</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健康管理</w:t>
      </w:r>
      <w:r>
        <w:rPr>
          <w:rFonts w:hint="eastAsia" w:ascii="微软雅黑" w:hAnsi="微软雅黑" w:eastAsia="微软雅黑" w:cs="微软雅黑"/>
          <w:color w:val="000000" w:themeColor="text1"/>
          <w:sz w:val="24"/>
          <w:szCs w:val="24"/>
          <w:lang w:eastAsia="zh-CN"/>
          <w14:textFill>
            <w14:solidFill>
              <w14:schemeClr w14:val="tx1"/>
            </w14:solidFill>
          </w14:textFill>
        </w:rPr>
        <w:t>的通知</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渝肺炎组疫发〔202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lang w:eastAsia="zh-CN"/>
          <w14:textFill>
            <w14:solidFill>
              <w14:schemeClr w14:val="tx1"/>
            </w14:solidFill>
          </w14:textFill>
        </w:rPr>
        <w:t>号）、</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《疫情期间工作人员离永返永返岗管理制度的通知》</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重医永川医院肺炎组〔2021〕13号），结</w:t>
      </w:r>
      <w:r>
        <w:rPr>
          <w:rFonts w:hint="eastAsia" w:ascii="微软雅黑" w:hAnsi="微软雅黑" w:eastAsia="微软雅黑" w:cs="微软雅黑"/>
          <w:color w:val="000000" w:themeColor="text1"/>
          <w:sz w:val="24"/>
          <w:szCs w:val="24"/>
          <w:lang w:eastAsia="zh-CN"/>
          <w14:textFill>
            <w14:solidFill>
              <w14:schemeClr w14:val="tx1"/>
            </w14:solidFill>
          </w14:textFill>
        </w:rPr>
        <w:t>合本院实际，</w:t>
      </w:r>
      <w:r>
        <w:rPr>
          <w:rFonts w:hint="eastAsia" w:ascii="微软雅黑" w:hAnsi="微软雅黑" w:eastAsia="微软雅黑" w:cs="微软雅黑"/>
          <w:color w:val="000000" w:themeColor="text1"/>
          <w:sz w:val="24"/>
          <w:szCs w:val="24"/>
          <w14:textFill>
            <w14:solidFill>
              <w14:schemeClr w14:val="tx1"/>
            </w14:solidFill>
          </w14:textFill>
        </w:rPr>
        <w:t>现就持续统筹做好疫情防控工作</w:t>
      </w:r>
      <w:r>
        <w:rPr>
          <w:rFonts w:hint="eastAsia" w:ascii="微软雅黑" w:hAnsi="微软雅黑" w:eastAsia="微软雅黑" w:cs="微软雅黑"/>
          <w:color w:val="000000" w:themeColor="text1"/>
          <w:sz w:val="24"/>
          <w:szCs w:val="24"/>
          <w:lang w:eastAsia="zh-CN"/>
          <w14:textFill>
            <w14:solidFill>
              <w14:schemeClr w14:val="tx1"/>
            </w14:solidFill>
          </w14:textFill>
        </w:rPr>
        <w:t>告知</w:t>
      </w:r>
      <w:r>
        <w:rPr>
          <w:rFonts w:hint="eastAsia" w:ascii="微软雅黑" w:hAnsi="微软雅黑" w:eastAsia="微软雅黑" w:cs="微软雅黑"/>
          <w:color w:val="000000" w:themeColor="text1"/>
          <w:sz w:val="24"/>
          <w:szCs w:val="24"/>
          <w14:textFill>
            <w14:solidFill>
              <w14:schemeClr w14:val="tx1"/>
            </w14:solidFill>
          </w14:textFill>
        </w:rPr>
        <w:t>如下</w:t>
      </w:r>
      <w:r>
        <w:rPr>
          <w:rFonts w:hint="eastAsia" w:ascii="微软雅黑" w:hAnsi="微软雅黑" w:eastAsia="微软雅黑" w:cs="微软雅黑"/>
          <w:color w:val="000000" w:themeColor="text1"/>
          <w:sz w:val="24"/>
          <w:szCs w:val="24"/>
          <w:lang w:eastAsia="zh-CN"/>
          <w14:textFill>
            <w14:solidFill>
              <w14:schemeClr w14:val="tx1"/>
            </w14:solidFill>
          </w14:textFill>
        </w:rPr>
        <w:t>，请配合完成。</w:t>
      </w:r>
    </w:p>
    <w:p>
      <w:pPr>
        <w:widowControl/>
        <w:spacing w:line="400" w:lineRule="exact"/>
        <w:ind w:firstLine="480" w:firstLineChars="200"/>
        <w:jc w:val="left"/>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境内重点地区来渝返渝人员</w:t>
      </w:r>
      <w:r>
        <w:rPr>
          <w:rFonts w:hint="eastAsia" w:ascii="微软雅黑" w:hAnsi="微软雅黑" w:eastAsia="微软雅黑" w:cs="微软雅黑"/>
          <w:color w:val="000000" w:themeColor="text1"/>
          <w:sz w:val="24"/>
          <w:szCs w:val="24"/>
          <w:lang w:eastAsia="zh-CN"/>
          <w14:textFill>
            <w14:solidFill>
              <w14:schemeClr w14:val="tx1"/>
            </w14:solidFill>
          </w14:textFill>
        </w:rPr>
        <w:t>实行</w:t>
      </w:r>
      <w:r>
        <w:rPr>
          <w:rFonts w:hint="eastAsia" w:ascii="微软雅黑" w:hAnsi="微软雅黑" w:eastAsia="微软雅黑" w:cs="微软雅黑"/>
          <w:color w:val="000000" w:themeColor="text1"/>
          <w:sz w:val="24"/>
          <w:szCs w:val="24"/>
          <w14:textFill>
            <w14:solidFill>
              <w14:schemeClr w14:val="tx1"/>
            </w14:solidFill>
          </w14:textFill>
        </w:rPr>
        <w:t>分类管理</w:t>
      </w:r>
      <w:r>
        <w:rPr>
          <w:rFonts w:hint="eastAsia" w:ascii="微软雅黑" w:hAnsi="微软雅黑" w:eastAsia="微软雅黑" w:cs="微软雅黑"/>
          <w:color w:val="000000" w:themeColor="text1"/>
          <w:sz w:val="24"/>
          <w:szCs w:val="24"/>
          <w:lang w:eastAsia="zh-CN"/>
          <w14:textFill>
            <w14:solidFill>
              <w14:schemeClr w14:val="tx1"/>
            </w14:solidFill>
          </w14:textFill>
        </w:rPr>
        <w:t>，具体如下：</w:t>
      </w:r>
    </w:p>
    <w:p>
      <w:pPr>
        <w:widowControl/>
        <w:spacing w:line="400" w:lineRule="exact"/>
        <w:ind w:firstLine="480" w:firstLineChars="200"/>
        <w:jc w:val="left"/>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对高、中风险区来渝返渝人员和外省（区、市）确定的特定时段、特定空间高风险人群，施行集中隔离医学观察，第1、4、7、10、14天各做1次核酸检测。</w:t>
      </w:r>
      <w:r>
        <w:rPr>
          <w:rFonts w:hint="eastAsia" w:ascii="微软雅黑" w:hAnsi="微软雅黑" w:eastAsia="微软雅黑" w:cs="微软雅黑"/>
          <w:color w:val="000000" w:themeColor="text1"/>
          <w:sz w:val="24"/>
          <w:szCs w:val="24"/>
          <w:lang w:eastAsia="zh-CN"/>
          <w14:textFill>
            <w14:solidFill>
              <w14:schemeClr w14:val="tx1"/>
            </w14:solidFill>
          </w14:textFill>
        </w:rPr>
        <w:t>到本院办事须持集中医学观察期间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5次核酸阴性证明+</w:t>
      </w:r>
      <w:r>
        <w:rPr>
          <w:rFonts w:hint="eastAsia" w:ascii="微软雅黑" w:hAnsi="微软雅黑" w:eastAsia="微软雅黑" w:cs="微软雅黑"/>
          <w:color w:val="000000" w:themeColor="text1"/>
          <w:sz w:val="24"/>
          <w:szCs w:val="24"/>
          <w:lang w:eastAsia="zh-CN"/>
          <w14:textFill>
            <w14:solidFill>
              <w14:schemeClr w14:val="tx1"/>
            </w14:solidFill>
          </w14:textFill>
        </w:rPr>
        <w:t>解除隔离证明</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+健康绿码+行程码，</w:t>
      </w:r>
      <w:r>
        <w:rPr>
          <w:rFonts w:hint="eastAsia" w:ascii="微软雅黑" w:hAnsi="微软雅黑" w:eastAsia="微软雅黑" w:cs="微软雅黑"/>
          <w:color w:val="000000" w:themeColor="text1"/>
          <w:sz w:val="24"/>
          <w:szCs w:val="24"/>
          <w:lang w:eastAsia="zh-CN"/>
          <w14:textFill>
            <w14:solidFill>
              <w14:schemeClr w14:val="tx1"/>
            </w14:solidFill>
          </w14:textFill>
        </w:rPr>
        <w:t>无法提供者严禁到本院办事。</w:t>
      </w:r>
    </w:p>
    <w:p>
      <w:pPr>
        <w:widowControl/>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对高风险区所在县（市、区）的其他低风险地区来渝返渝人员，施行7天居家隔离+7天健康监测（第1、7、10、14天各做1次核酸检测）。</w:t>
      </w:r>
      <w:r>
        <w:rPr>
          <w:rFonts w:hint="eastAsia" w:ascii="微软雅黑" w:hAnsi="微软雅黑" w:eastAsia="微软雅黑" w:cs="微软雅黑"/>
          <w:color w:val="000000" w:themeColor="text1"/>
          <w:sz w:val="24"/>
          <w:szCs w:val="24"/>
          <w:lang w:eastAsia="zh-CN"/>
          <w14:textFill>
            <w14:solidFill>
              <w14:schemeClr w14:val="tx1"/>
            </w14:solidFill>
          </w14:textFill>
        </w:rPr>
        <w:t>到本院办事须持居家隔离和健康监测期间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4次核酸阴性证明</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健康绿码+行程码，</w:t>
      </w:r>
      <w:r>
        <w:rPr>
          <w:rFonts w:hint="eastAsia" w:ascii="微软雅黑" w:hAnsi="微软雅黑" w:eastAsia="微软雅黑" w:cs="微软雅黑"/>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对中风险区所在县（市、区）的其他低风险区来渝返渝人员和外省（区、市）高风险岗位的来渝返渝人员（自行申报），实施14天自我健康监测（第1、7、10、14天各做1次核酸检测，前</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次检测结果出来之前原则上居家观察）。</w:t>
      </w:r>
      <w:r>
        <w:rPr>
          <w:rFonts w:hint="eastAsia" w:ascii="微软雅黑" w:hAnsi="微软雅黑" w:eastAsia="微软雅黑" w:cs="微软雅黑"/>
          <w:color w:val="000000" w:themeColor="text1"/>
          <w:sz w:val="24"/>
          <w:szCs w:val="24"/>
          <w:lang w:eastAsia="zh-CN"/>
          <w14:textFill>
            <w14:solidFill>
              <w14:schemeClr w14:val="tx1"/>
            </w14:solidFill>
          </w14:textFill>
        </w:rPr>
        <w:t>到本院办事须持</w:t>
      </w:r>
      <w:r>
        <w:rPr>
          <w:rFonts w:hint="eastAsia" w:ascii="微软雅黑" w:hAnsi="微软雅黑" w:eastAsia="微软雅黑" w:cs="微软雅黑"/>
          <w:color w:val="000000" w:themeColor="text1"/>
          <w:sz w:val="24"/>
          <w:szCs w:val="24"/>
          <w14:textFill>
            <w14:solidFill>
              <w14:schemeClr w14:val="tx1"/>
            </w14:solidFill>
          </w14:textFill>
        </w:rPr>
        <w:t>健康监测</w:t>
      </w:r>
      <w:r>
        <w:rPr>
          <w:rFonts w:hint="eastAsia" w:ascii="微软雅黑" w:hAnsi="微软雅黑" w:eastAsia="微软雅黑" w:cs="微软雅黑"/>
          <w:color w:val="000000" w:themeColor="text1"/>
          <w:sz w:val="24"/>
          <w:szCs w:val="24"/>
          <w:lang w:eastAsia="zh-CN"/>
          <w14:textFill>
            <w14:solidFill>
              <w14:schemeClr w14:val="tx1"/>
            </w14:solidFill>
          </w14:textFill>
        </w:rPr>
        <w:t>期间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前2次核酸阴性证明+健康绿码+行程码</w:t>
      </w:r>
      <w:r>
        <w:rPr>
          <w:rFonts w:hint="eastAsia" w:ascii="微软雅黑" w:hAnsi="微软雅黑" w:eastAsia="微软雅黑" w:cs="微软雅黑"/>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对高、中风险区所在地市的其他县（市、区）来渝返渝人员和未划定高、中风险区但出现本土病例的所在地市来渝返渝人员，实施7天自我健康监测（在</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天内完成2次核酸检测，2次采样间隔至少</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72</w:t>
      </w:r>
      <w:r>
        <w:rPr>
          <w:rFonts w:hint="eastAsia" w:ascii="微软雅黑" w:hAnsi="微软雅黑" w:eastAsia="微软雅黑" w:cs="微软雅黑"/>
          <w:color w:val="000000" w:themeColor="text1"/>
          <w:sz w:val="24"/>
          <w:szCs w:val="24"/>
          <w14:textFill>
            <w14:solidFill>
              <w14:schemeClr w14:val="tx1"/>
            </w14:solidFill>
          </w14:textFill>
        </w:rPr>
        <w:t>小时，2次检测结果出来前原则上居家观察）。</w:t>
      </w:r>
      <w:r>
        <w:rPr>
          <w:rFonts w:hint="eastAsia" w:ascii="微软雅黑" w:hAnsi="微软雅黑" w:eastAsia="微软雅黑" w:cs="微软雅黑"/>
          <w:color w:val="000000" w:themeColor="text1"/>
          <w:sz w:val="24"/>
          <w:szCs w:val="24"/>
          <w:lang w:eastAsia="zh-CN"/>
          <w14:textFill>
            <w14:solidFill>
              <w14:schemeClr w14:val="tx1"/>
            </w14:solidFill>
          </w14:textFill>
        </w:rPr>
        <w:t>到本院办事须持</w:t>
      </w:r>
      <w:r>
        <w:rPr>
          <w:rFonts w:hint="eastAsia" w:ascii="微软雅黑" w:hAnsi="微软雅黑" w:eastAsia="微软雅黑" w:cs="微软雅黑"/>
          <w:color w:val="000000" w:themeColor="text1"/>
          <w:sz w:val="24"/>
          <w:szCs w:val="24"/>
          <w14:textFill>
            <w14:solidFill>
              <w14:schemeClr w14:val="tx1"/>
            </w14:solidFill>
          </w14:textFill>
        </w:rPr>
        <w:t>健康监测</w:t>
      </w:r>
      <w:r>
        <w:rPr>
          <w:rFonts w:hint="eastAsia" w:ascii="微软雅黑" w:hAnsi="微软雅黑" w:eastAsia="微软雅黑" w:cs="微软雅黑"/>
          <w:color w:val="000000" w:themeColor="text1"/>
          <w:sz w:val="24"/>
          <w:szCs w:val="24"/>
          <w:lang w:eastAsia="zh-CN"/>
          <w14:textFill>
            <w14:solidFill>
              <w14:schemeClr w14:val="tx1"/>
            </w14:solidFill>
          </w14:textFill>
        </w:rPr>
        <w:t>期间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2次核酸（</w:t>
      </w:r>
      <w:r>
        <w:rPr>
          <w:rFonts w:hint="eastAsia" w:ascii="微软雅黑" w:hAnsi="微软雅黑" w:eastAsia="微软雅黑" w:cs="微软雅黑"/>
          <w:color w:val="000000" w:themeColor="text1"/>
          <w:sz w:val="24"/>
          <w:szCs w:val="24"/>
          <w14:textFill>
            <w14:solidFill>
              <w14:schemeClr w14:val="tx1"/>
            </w14:solidFill>
          </w14:textFill>
        </w:rPr>
        <w:t>间隔至少</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72</w:t>
      </w:r>
      <w:r>
        <w:rPr>
          <w:rFonts w:hint="eastAsia" w:ascii="微软雅黑" w:hAnsi="微软雅黑" w:eastAsia="微软雅黑" w:cs="微软雅黑"/>
          <w:color w:val="000000" w:themeColor="text1"/>
          <w:sz w:val="24"/>
          <w:szCs w:val="24"/>
          <w14:textFill>
            <w14:solidFill>
              <w14:schemeClr w14:val="tx1"/>
            </w14:solidFill>
          </w14:textFill>
        </w:rPr>
        <w:t>小时</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）阴性证明+健康绿码+行程码</w:t>
      </w:r>
      <w:r>
        <w:rPr>
          <w:rFonts w:hint="eastAsia" w:ascii="微软雅黑" w:hAnsi="微软雅黑" w:eastAsia="微软雅黑" w:cs="微软雅黑"/>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（5）除外上述情形的市外低风险区来渝返渝人员，参照第（4）条执行</w:t>
      </w:r>
      <w:r>
        <w:rPr>
          <w:rFonts w:hint="eastAsia" w:ascii="微软雅黑" w:hAnsi="微软雅黑" w:eastAsia="微软雅黑" w:cs="微软雅黑"/>
          <w:color w:val="000000" w:themeColor="text1"/>
          <w:sz w:val="24"/>
          <w:szCs w:val="24"/>
          <w:lang w:eastAsia="zh-CN"/>
          <w14:textFill>
            <w14:solidFill>
              <w14:schemeClr w14:val="tx1"/>
            </w14:solidFill>
          </w14:textFill>
        </w:rPr>
        <w:t>，原则上需</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进行</w:t>
      </w:r>
      <w:r>
        <w:rPr>
          <w:rFonts w:hint="eastAsia" w:ascii="微软雅黑" w:hAnsi="微软雅黑" w:eastAsia="微软雅黑" w:cs="微软雅黑"/>
          <w:color w:val="000000" w:themeColor="text1"/>
          <w:sz w:val="24"/>
          <w:szCs w:val="24"/>
          <w14:textFill>
            <w14:solidFill>
              <w14:schemeClr w14:val="tx1"/>
            </w14:solidFill>
          </w14:textFill>
        </w:rPr>
        <w:t>2次</w:t>
      </w:r>
      <w:r>
        <w:rPr>
          <w:rFonts w:hint="eastAsia" w:ascii="微软雅黑" w:hAnsi="微软雅黑" w:eastAsia="微软雅黑" w:cs="微软雅黑"/>
          <w:color w:val="000000" w:themeColor="text1"/>
          <w:sz w:val="24"/>
          <w:szCs w:val="24"/>
          <w:lang w:eastAsia="zh-CN"/>
          <w14:textFill>
            <w14:solidFill>
              <w14:schemeClr w14:val="tx1"/>
            </w14:solidFill>
          </w14:textFill>
        </w:rPr>
        <w:t>核酸</w:t>
      </w:r>
      <w:r>
        <w:rPr>
          <w:rFonts w:hint="eastAsia" w:ascii="微软雅黑" w:hAnsi="微软雅黑" w:eastAsia="微软雅黑" w:cs="微软雅黑"/>
          <w:color w:val="000000" w:themeColor="text1"/>
          <w:sz w:val="24"/>
          <w:szCs w:val="24"/>
          <w14:textFill>
            <w14:solidFill>
              <w14:schemeClr w14:val="tx1"/>
            </w14:solidFill>
          </w14:textFill>
        </w:rPr>
        <w:t>检测</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间隔至少</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72</w:t>
      </w:r>
      <w:r>
        <w:rPr>
          <w:rFonts w:hint="eastAsia" w:ascii="微软雅黑" w:hAnsi="微软雅黑" w:eastAsia="微软雅黑" w:cs="微软雅黑"/>
          <w:color w:val="000000" w:themeColor="text1"/>
          <w:sz w:val="24"/>
          <w:szCs w:val="24"/>
          <w14:textFill>
            <w14:solidFill>
              <w14:schemeClr w14:val="tx1"/>
            </w14:solidFill>
          </w14:textFill>
        </w:rPr>
        <w:t>小时</w:t>
      </w:r>
      <w:r>
        <w:rPr>
          <w:rFonts w:hint="eastAsia" w:ascii="微软雅黑" w:hAnsi="微软雅黑" w:eastAsia="微软雅黑" w:cs="微软雅黑"/>
          <w:color w:val="000000" w:themeColor="text1"/>
          <w:sz w:val="24"/>
          <w:szCs w:val="24"/>
          <w:lang w:eastAsia="zh-CN"/>
          <w14:textFill>
            <w14:solidFill>
              <w14:schemeClr w14:val="tx1"/>
            </w14:solidFill>
          </w14:textFill>
        </w:rPr>
        <w:t>）且</w:t>
      </w:r>
      <w:r>
        <w:rPr>
          <w:rFonts w:hint="eastAsia" w:ascii="微软雅黑" w:hAnsi="微软雅黑" w:eastAsia="微软雅黑" w:cs="微软雅黑"/>
          <w:color w:val="000000" w:themeColor="text1"/>
          <w:sz w:val="24"/>
          <w:szCs w:val="24"/>
          <w14:textFill>
            <w14:solidFill>
              <w14:schemeClr w14:val="tx1"/>
            </w14:solidFill>
          </w14:textFill>
        </w:rPr>
        <w:t>结果</w:t>
      </w:r>
      <w:r>
        <w:rPr>
          <w:rFonts w:hint="eastAsia" w:ascii="微软雅黑" w:hAnsi="微软雅黑" w:eastAsia="微软雅黑" w:cs="微软雅黑"/>
          <w:color w:val="000000" w:themeColor="text1"/>
          <w:sz w:val="24"/>
          <w:szCs w:val="24"/>
          <w:lang w:eastAsia="zh-CN"/>
          <w14:textFill>
            <w14:solidFill>
              <w14:schemeClr w14:val="tx1"/>
            </w14:solidFill>
          </w14:textFill>
        </w:rPr>
        <w:t>阴性方可来本院办事，到本院办事须持</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2次核酸（</w:t>
      </w:r>
      <w:r>
        <w:rPr>
          <w:rFonts w:hint="eastAsia" w:ascii="微软雅黑" w:hAnsi="微软雅黑" w:eastAsia="微软雅黑" w:cs="微软雅黑"/>
          <w:color w:val="000000" w:themeColor="text1"/>
          <w:sz w:val="24"/>
          <w:szCs w:val="24"/>
          <w14:textFill>
            <w14:solidFill>
              <w14:schemeClr w14:val="tx1"/>
            </w14:solidFill>
          </w14:textFill>
        </w:rPr>
        <w:t>间隔至少</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72</w:t>
      </w:r>
      <w:r>
        <w:rPr>
          <w:rFonts w:hint="eastAsia" w:ascii="微软雅黑" w:hAnsi="微软雅黑" w:eastAsia="微软雅黑" w:cs="微软雅黑"/>
          <w:color w:val="000000" w:themeColor="text1"/>
          <w:sz w:val="24"/>
          <w:szCs w:val="24"/>
          <w14:textFill>
            <w14:solidFill>
              <w14:schemeClr w14:val="tx1"/>
            </w14:solidFill>
          </w14:textFill>
        </w:rPr>
        <w:t>小时</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）阴性证明+健康绿码+行程码，</w:t>
      </w:r>
      <w:r>
        <w:rPr>
          <w:rFonts w:hint="eastAsia" w:ascii="微软雅黑" w:hAnsi="微软雅黑" w:eastAsia="微软雅黑" w:cs="微软雅黑"/>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3、重庆市内人员持48小时内核酸检测阴性证明+健康绿码+行程码。如重庆市发现本土疫情，则严格按照上级要求执行相关管理规定。</w:t>
      </w:r>
    </w:p>
    <w:p>
      <w:pPr>
        <w:pageBreakBefore w:val="0"/>
        <w:kinsoku/>
        <w:wordWrap/>
        <w:overflowPunct/>
        <w:topLinePunct w:val="0"/>
        <w:bidi w:val="0"/>
        <w:spacing w:line="240" w:lineRule="auto"/>
        <w:rPr>
          <w:rFonts w:hint="eastAsia" w:ascii="微软雅黑" w:hAnsi="微软雅黑" w:eastAsia="微软雅黑" w:cs="微软雅黑"/>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6D39D"/>
    <w:multiLevelType w:val="singleLevel"/>
    <w:tmpl w:val="B266D39D"/>
    <w:lvl w:ilvl="0" w:tentative="0">
      <w:start w:val="1"/>
      <w:numFmt w:val="decimal"/>
      <w:suff w:val="nothing"/>
      <w:lvlText w:val="%1、"/>
      <w:lvlJc w:val="left"/>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18FB1B7"/>
    <w:multiLevelType w:val="singleLevel"/>
    <w:tmpl w:val="218FB1B7"/>
    <w:lvl w:ilvl="0" w:tentative="0">
      <w:start w:val="2"/>
      <w:numFmt w:val="decimal"/>
      <w:suff w:val="nothing"/>
      <w:lvlText w:val="%1、"/>
      <w:lvlJc w:val="left"/>
    </w:lvl>
  </w:abstractNum>
  <w:abstractNum w:abstractNumId="14">
    <w:nsid w:val="3445E9D8"/>
    <w:multiLevelType w:val="singleLevel"/>
    <w:tmpl w:val="3445E9D8"/>
    <w:lvl w:ilvl="0" w:tentative="0">
      <w:start w:val="1"/>
      <w:numFmt w:val="chineseCounting"/>
      <w:suff w:val="nothing"/>
      <w:lvlText w:val="%1、"/>
      <w:lvlJc w:val="left"/>
      <w:rPr>
        <w:rFonts w:hint="eastAsia"/>
      </w:rPr>
    </w:lvl>
  </w:abstractNum>
  <w:abstractNum w:abstractNumId="15">
    <w:nsid w:val="503D84B3"/>
    <w:multiLevelType w:val="singleLevel"/>
    <w:tmpl w:val="503D84B3"/>
    <w:lvl w:ilvl="0" w:tentative="0">
      <w:start w:val="1"/>
      <w:numFmt w:val="chineseCounting"/>
      <w:suff w:val="nothing"/>
      <w:lvlText w:val="%1、"/>
      <w:lvlJc w:val="left"/>
      <w:rPr>
        <w:rFonts w:hint="eastAsia"/>
      </w:r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5"/>
  </w:num>
  <w:num w:numId="14">
    <w:abstractNumId w:val="14"/>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363F8"/>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63AC1"/>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19D115B"/>
    <w:rsid w:val="01EF04C8"/>
    <w:rsid w:val="028F51CC"/>
    <w:rsid w:val="03D41EAC"/>
    <w:rsid w:val="04A14B9C"/>
    <w:rsid w:val="04E2157A"/>
    <w:rsid w:val="053412CC"/>
    <w:rsid w:val="05614B95"/>
    <w:rsid w:val="07F43A9E"/>
    <w:rsid w:val="08144141"/>
    <w:rsid w:val="087E4C85"/>
    <w:rsid w:val="08DE75D5"/>
    <w:rsid w:val="0B6B4077"/>
    <w:rsid w:val="0B7E3244"/>
    <w:rsid w:val="0C4F49D4"/>
    <w:rsid w:val="0DA970D9"/>
    <w:rsid w:val="101F3682"/>
    <w:rsid w:val="10D71D70"/>
    <w:rsid w:val="110C00AB"/>
    <w:rsid w:val="12C11A73"/>
    <w:rsid w:val="132C0B43"/>
    <w:rsid w:val="13877EBC"/>
    <w:rsid w:val="15785D0F"/>
    <w:rsid w:val="157E50B5"/>
    <w:rsid w:val="15A0279A"/>
    <w:rsid w:val="169B08E4"/>
    <w:rsid w:val="18673E19"/>
    <w:rsid w:val="19306328"/>
    <w:rsid w:val="19E73463"/>
    <w:rsid w:val="1A7F31EF"/>
    <w:rsid w:val="1B326960"/>
    <w:rsid w:val="1BA26E1D"/>
    <w:rsid w:val="1E5A2B66"/>
    <w:rsid w:val="1F39715F"/>
    <w:rsid w:val="1FBD0368"/>
    <w:rsid w:val="200C59D1"/>
    <w:rsid w:val="20397CD9"/>
    <w:rsid w:val="20AF1471"/>
    <w:rsid w:val="2101553A"/>
    <w:rsid w:val="21D82583"/>
    <w:rsid w:val="22396A15"/>
    <w:rsid w:val="23CB6F9A"/>
    <w:rsid w:val="24A563F4"/>
    <w:rsid w:val="27764078"/>
    <w:rsid w:val="28074CD0"/>
    <w:rsid w:val="28AC175F"/>
    <w:rsid w:val="29546DCC"/>
    <w:rsid w:val="29A547A1"/>
    <w:rsid w:val="2A17683C"/>
    <w:rsid w:val="2A3802E9"/>
    <w:rsid w:val="2AAE554F"/>
    <w:rsid w:val="2C1E4485"/>
    <w:rsid w:val="2C7C1C5F"/>
    <w:rsid w:val="2D234680"/>
    <w:rsid w:val="2D4C1B03"/>
    <w:rsid w:val="30A2642B"/>
    <w:rsid w:val="3139239E"/>
    <w:rsid w:val="31796C3F"/>
    <w:rsid w:val="328D6F97"/>
    <w:rsid w:val="3411315F"/>
    <w:rsid w:val="34EA4791"/>
    <w:rsid w:val="35024A80"/>
    <w:rsid w:val="36486BE0"/>
    <w:rsid w:val="369B31B3"/>
    <w:rsid w:val="38735A0D"/>
    <w:rsid w:val="38BC4F20"/>
    <w:rsid w:val="39E3518D"/>
    <w:rsid w:val="39F71049"/>
    <w:rsid w:val="3A62769E"/>
    <w:rsid w:val="3BAE6C03"/>
    <w:rsid w:val="3D3D3597"/>
    <w:rsid w:val="3EDE6333"/>
    <w:rsid w:val="42DF6B1E"/>
    <w:rsid w:val="430D5DE7"/>
    <w:rsid w:val="43A22D45"/>
    <w:rsid w:val="44000AFA"/>
    <w:rsid w:val="4412680D"/>
    <w:rsid w:val="44B244EA"/>
    <w:rsid w:val="451D238E"/>
    <w:rsid w:val="453261A0"/>
    <w:rsid w:val="458D2861"/>
    <w:rsid w:val="47573126"/>
    <w:rsid w:val="47682DB4"/>
    <w:rsid w:val="48711FC6"/>
    <w:rsid w:val="48B01AFF"/>
    <w:rsid w:val="48EC5AF0"/>
    <w:rsid w:val="4A4C2CEB"/>
    <w:rsid w:val="4B72052F"/>
    <w:rsid w:val="4CB260CC"/>
    <w:rsid w:val="4D296366"/>
    <w:rsid w:val="4D425BCC"/>
    <w:rsid w:val="4D6A3FBD"/>
    <w:rsid w:val="4E90655B"/>
    <w:rsid w:val="4EDA1D69"/>
    <w:rsid w:val="4F076EC2"/>
    <w:rsid w:val="4FBA2FBC"/>
    <w:rsid w:val="4FBF7ABB"/>
    <w:rsid w:val="4FF05EC6"/>
    <w:rsid w:val="50B52C6C"/>
    <w:rsid w:val="51CB6BEB"/>
    <w:rsid w:val="546B0211"/>
    <w:rsid w:val="55493117"/>
    <w:rsid w:val="572823EA"/>
    <w:rsid w:val="577D2735"/>
    <w:rsid w:val="586438F5"/>
    <w:rsid w:val="59570D64"/>
    <w:rsid w:val="597429F5"/>
    <w:rsid w:val="5A1B7FE4"/>
    <w:rsid w:val="5A663955"/>
    <w:rsid w:val="5A851901"/>
    <w:rsid w:val="5BA33679"/>
    <w:rsid w:val="5C1E200D"/>
    <w:rsid w:val="5C6E60F2"/>
    <w:rsid w:val="5CFF599B"/>
    <w:rsid w:val="5D375134"/>
    <w:rsid w:val="5DD72140"/>
    <w:rsid w:val="5E0F1CE2"/>
    <w:rsid w:val="5E761C4D"/>
    <w:rsid w:val="5E9F3FD4"/>
    <w:rsid w:val="61142591"/>
    <w:rsid w:val="61ED42C5"/>
    <w:rsid w:val="634532CA"/>
    <w:rsid w:val="643A28EB"/>
    <w:rsid w:val="643F0D73"/>
    <w:rsid w:val="64C549B0"/>
    <w:rsid w:val="64FC28DF"/>
    <w:rsid w:val="66D70304"/>
    <w:rsid w:val="673856CB"/>
    <w:rsid w:val="67C61FC0"/>
    <w:rsid w:val="688B27D8"/>
    <w:rsid w:val="68EF11C3"/>
    <w:rsid w:val="699E0FCF"/>
    <w:rsid w:val="6B0D3978"/>
    <w:rsid w:val="6B4B27EC"/>
    <w:rsid w:val="7021369A"/>
    <w:rsid w:val="70622071"/>
    <w:rsid w:val="71526589"/>
    <w:rsid w:val="73861FD4"/>
    <w:rsid w:val="7480340D"/>
    <w:rsid w:val="76733E7A"/>
    <w:rsid w:val="76CA0970"/>
    <w:rsid w:val="76E47C83"/>
    <w:rsid w:val="78144598"/>
    <w:rsid w:val="78632E2A"/>
    <w:rsid w:val="79907C4E"/>
    <w:rsid w:val="7BB67714"/>
    <w:rsid w:val="7C6D24C9"/>
    <w:rsid w:val="7CD460A4"/>
    <w:rsid w:val="7D1F6674"/>
    <w:rsid w:val="7E5F5E41"/>
    <w:rsid w:val="7F2350C1"/>
    <w:rsid w:val="7F4D213E"/>
    <w:rsid w:val="7F540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39</Pages>
  <Words>15539</Words>
  <Characters>15927</Characters>
  <Lines>172</Lines>
  <Paragraphs>48</Paragraphs>
  <TotalTime>26</TotalTime>
  <ScaleCrop>false</ScaleCrop>
  <LinksUpToDate>false</LinksUpToDate>
  <CharactersWithSpaces>16996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cp:lastPrinted>2022-04-11T00:21:00Z</cp:lastPrinted>
  <dcterms:modified xsi:type="dcterms:W3CDTF">2022-07-07T08:25:14Z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4DB11AF595254BFFAE055485947F214F</vt:lpwstr>
  </property>
</Properties>
</file>