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2022GC002</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项目名称：红河院区建设项目工程材料检验试验服务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lang w:val="en-US" w:eastAsia="zh-CN"/>
        </w:rPr>
        <w:t xml:space="preserve">      </w:t>
      </w:r>
      <w:r>
        <w:rPr>
          <w:rFonts w:hint="eastAsia" w:ascii="方正小标宋_GBK" w:hAnsi="宋体" w:eastAsia="方正小标宋_GBK" w:cs="Times New Roman"/>
          <w:color w:val="auto"/>
          <w:sz w:val="28"/>
          <w:szCs w:val="28"/>
        </w:rPr>
        <w:t>二〇二二年</w:t>
      </w:r>
      <w:r>
        <w:rPr>
          <w:rFonts w:hint="eastAsia" w:ascii="方正小标宋_GBK" w:hAnsi="宋体" w:eastAsia="方正小标宋_GBK" w:cs="Times New Roman"/>
          <w:color w:val="auto"/>
          <w:sz w:val="28"/>
          <w:szCs w:val="28"/>
          <w:lang w:eastAsia="zh-CN"/>
        </w:rPr>
        <w:t>五</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_Toc30101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_Toc30101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_Toc27632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_Toc27632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_Toc26888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_Toc26888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_Toc27642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_Toc27642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_Toc25699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_Toc25699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_Toc26525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_Toc26525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_Toc2047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_Toc6742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_Toc6742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_Toc29640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_Toc29640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_Toc13632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_Toc13632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_Toc18911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_Toc18911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_Toc31135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_Toc31135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_Toc30585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_Toc30585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_Toc5326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_Toc5326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_Toc32150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_Toc32150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_Toc12437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_Toc12437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_Toc129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_Toc817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_Toc23608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_Toc23608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_Toc17553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_Toc17553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_Toc11564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_Toc11564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_Toc23194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_Toc23194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_Toc30719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_Toc30719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_Toc23667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三、类似项目业绩要求</w:t>
      </w:r>
      <w:r>
        <w:rPr>
          <w:color w:val="auto"/>
        </w:rPr>
        <w:tab/>
      </w:r>
      <w:r>
        <w:rPr>
          <w:color w:val="auto"/>
        </w:rPr>
        <w:fldChar w:fldCharType="begin"/>
      </w:r>
      <w:r>
        <w:rPr>
          <w:color w:val="auto"/>
        </w:rPr>
        <w:instrText xml:space="preserve"> PAGEREF _Toc23667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_Toc12324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_Toc12324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_Toc19737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_Toc19737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_Toc7312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_Toc7312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_Toc12251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三、付款方式</w:t>
      </w:r>
      <w:r>
        <w:rPr>
          <w:color w:val="auto"/>
        </w:rPr>
        <w:tab/>
      </w:r>
      <w:r>
        <w:rPr>
          <w:color w:val="auto"/>
        </w:rPr>
        <w:fldChar w:fldCharType="begin"/>
      </w:r>
      <w:r>
        <w:rPr>
          <w:color w:val="auto"/>
        </w:rPr>
        <w:instrText xml:space="preserve"> PAGEREF _Toc12251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_Toc21210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四、考核办法</w:t>
      </w:r>
      <w:r>
        <w:rPr>
          <w:color w:val="auto"/>
        </w:rPr>
        <w:tab/>
      </w:r>
      <w:r>
        <w:rPr>
          <w:color w:val="auto"/>
        </w:rPr>
        <w:fldChar w:fldCharType="begin"/>
      </w:r>
      <w:r>
        <w:rPr>
          <w:color w:val="auto"/>
        </w:rPr>
        <w:instrText xml:space="preserve"> PAGEREF _Toc21210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_Toc28011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五、知识产权</w:t>
      </w:r>
      <w:r>
        <w:rPr>
          <w:color w:val="auto"/>
        </w:rPr>
        <w:tab/>
      </w:r>
      <w:r>
        <w:rPr>
          <w:color w:val="auto"/>
        </w:rPr>
        <w:fldChar w:fldCharType="begin"/>
      </w:r>
      <w:r>
        <w:rPr>
          <w:color w:val="auto"/>
        </w:rPr>
        <w:instrText xml:space="preserve"> PAGEREF _Toc28011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六、培训</w:t>
      </w:r>
      <w:r>
        <w:rPr>
          <w:color w:val="auto"/>
        </w:rPr>
        <w:tab/>
      </w:r>
      <w:r>
        <w:rPr>
          <w:color w:val="auto"/>
        </w:rPr>
        <w:fldChar w:fldCharType="begin"/>
      </w:r>
      <w:r>
        <w:rPr>
          <w:color w:val="auto"/>
        </w:rPr>
        <w:instrText xml:space="preserve"> PAGEREF _Toc1151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_Toc30364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七、其他</w:t>
      </w:r>
      <w:r>
        <w:rPr>
          <w:color w:val="auto"/>
        </w:rPr>
        <w:tab/>
      </w:r>
      <w:r>
        <w:rPr>
          <w:color w:val="auto"/>
        </w:rPr>
        <w:fldChar w:fldCharType="begin"/>
      </w:r>
      <w:r>
        <w:rPr>
          <w:color w:val="auto"/>
        </w:rPr>
        <w:instrText xml:space="preserve"> PAGEREF _Toc30364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_Toc30503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_Toc30503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_Toc14867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_Toc14867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二、货物内容</w:t>
      </w:r>
      <w:r>
        <w:rPr>
          <w:color w:val="auto"/>
        </w:rPr>
        <w:tab/>
      </w:r>
      <w:r>
        <w:rPr>
          <w:color w:val="auto"/>
        </w:rPr>
        <w:fldChar w:fldCharType="begin"/>
      </w:r>
      <w:r>
        <w:rPr>
          <w:color w:val="auto"/>
        </w:rPr>
        <w:instrText xml:space="preserve"> PAGEREF _Toc2070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_Toc27757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_Toc27757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_Toc23604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_Toc23604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_Toc24236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_Toc24236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_Toc10578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_Toc10578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_Toc15586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_Toc10903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_Toc10903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_Toc8061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_Toc8061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_Toc8495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_Toc8495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_Toc27547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_Toc27547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_Toc3006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_Toc9038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_Toc9038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_Toc21029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_Toc21029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_Toc3260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_Toc3260 \h </w:instrText>
      </w:r>
      <w:r>
        <w:rPr>
          <w:color w:val="auto"/>
        </w:rPr>
        <w:fldChar w:fldCharType="separate"/>
      </w:r>
      <w:r>
        <w:rPr>
          <w:color w:val="auto"/>
        </w:rPr>
        <w:t>21</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_Toc20625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lang w:val="en-US" w:eastAsia="zh-CN"/>
        </w:rPr>
        <w:t>重庆医科大学附属永川医院参加医院院内采购活动来院人员</w:t>
      </w:r>
      <w:r>
        <w:rPr>
          <w:rFonts w:hint="eastAsia" w:ascii="微软雅黑" w:hAnsi="微软雅黑" w:eastAsia="微软雅黑" w:cs="微软雅黑"/>
          <w:color w:val="auto"/>
          <w:szCs w:val="36"/>
        </w:rPr>
        <w:t>新冠肺炎疫情防控工作</w:t>
      </w:r>
      <w:r>
        <w:rPr>
          <w:rFonts w:hint="eastAsia" w:ascii="微软雅黑" w:hAnsi="微软雅黑" w:eastAsia="微软雅黑" w:cs="微软雅黑"/>
          <w:color w:val="auto"/>
          <w:szCs w:val="36"/>
          <w:lang w:eastAsia="zh-CN"/>
        </w:rPr>
        <w:t>告知书</w:t>
      </w:r>
      <w:r>
        <w:rPr>
          <w:color w:val="auto"/>
        </w:rPr>
        <w:tab/>
      </w:r>
      <w:r>
        <w:rPr>
          <w:color w:val="auto"/>
        </w:rPr>
        <w:fldChar w:fldCharType="begin"/>
      </w:r>
      <w:r>
        <w:rPr>
          <w:color w:val="auto"/>
        </w:rPr>
        <w:instrText xml:space="preserve"> PAGEREF _Toc20625 \h </w:instrText>
      </w:r>
      <w:r>
        <w:rPr>
          <w:color w:val="auto"/>
        </w:rPr>
        <w:fldChar w:fldCharType="separate"/>
      </w:r>
      <w:r>
        <w:rPr>
          <w:color w:val="auto"/>
        </w:rPr>
        <w:t>40</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11641050"/>
      <w:bookmarkStart w:id="2" w:name="_Toc30101"/>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重庆医科大学附属永川医院（简称“重医附属永川医院”）对红河院区建设项目工程材料检验试验服务项目进行院内比选采购。欢迎有资格、有实力的潜在供应商参加。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7632"/>
      <w:bookmarkStart w:id="7" w:name="_Toc313893526"/>
      <w:bookmarkStart w:id="8" w:name="_Toc485108767"/>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915"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150"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122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最高限价</w:t>
            </w:r>
          </w:p>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（万元）</w:t>
            </w:r>
          </w:p>
        </w:tc>
        <w:tc>
          <w:tcPr>
            <w:tcW w:w="212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红河院区建设项目工程材料检验试验服务</w:t>
            </w:r>
          </w:p>
        </w:tc>
        <w:tc>
          <w:tcPr>
            <w:tcW w:w="215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1225" w:type="dxa"/>
            <w:vAlign w:val="center"/>
          </w:tcPr>
          <w:p>
            <w:pPr>
              <w:spacing w:line="400" w:lineRule="exact"/>
              <w:jc w:val="center"/>
              <w:rPr>
                <w:rFonts w:hint="default" w:ascii="方正仿宋_GBK" w:hAnsi="宋体" w:eastAsia="方正仿宋_GBK"/>
                <w:color w:val="auto"/>
                <w:sz w:val="24"/>
                <w:szCs w:val="24"/>
                <w:lang w:val="en-US" w:eastAsia="zh-CN"/>
              </w:rPr>
            </w:pPr>
          </w:p>
        </w:tc>
        <w:tc>
          <w:tcPr>
            <w:tcW w:w="2125" w:type="dxa"/>
            <w:vAlign w:val="center"/>
          </w:tcPr>
          <w:p>
            <w:pPr>
              <w:spacing w:line="400" w:lineRule="exact"/>
              <w:ind w:firstLine="480" w:firstLineChars="200"/>
              <w:rPr>
                <w:rFonts w:ascii="方正仿宋_GBK" w:hAnsi="宋体" w:eastAsia="方正仿宋_GBK"/>
                <w:color w:val="auto"/>
                <w:sz w:val="24"/>
                <w:szCs w:val="24"/>
              </w:rPr>
            </w:pPr>
          </w:p>
        </w:tc>
      </w:tr>
    </w:tbl>
    <w:p>
      <w:pPr>
        <w:keepNext/>
        <w:keepLines/>
        <w:outlineLvl w:val="2"/>
        <w:rPr>
          <w:rFonts w:ascii="方正仿宋_GBK" w:hAnsi="Times New Roman" w:eastAsia="方正仿宋_GBK" w:cs="Times New Roman"/>
          <w:b/>
          <w:color w:val="auto"/>
          <w:sz w:val="24"/>
          <w:szCs w:val="24"/>
        </w:rPr>
      </w:pPr>
      <w:bookmarkStart w:id="10" w:name="_Toc26888"/>
      <w:bookmarkStart w:id="11" w:name="_Toc485108768"/>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7642"/>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（二）特定资质条件</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1</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s="Times New Roman"/>
          <w:color w:val="auto"/>
          <w:sz w:val="24"/>
          <w:szCs w:val="24"/>
          <w:lang w:eastAsia="zh-CN"/>
        </w:rPr>
        <w:t>投标人具备建筑工程质量检测经营范围的营业执照，且自投标之日起前三年内无违法执业行为记录；</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2</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s="Times New Roman"/>
          <w:color w:val="auto"/>
          <w:sz w:val="24"/>
          <w:szCs w:val="24"/>
          <w:lang w:eastAsia="zh-CN"/>
        </w:rPr>
        <w:t>投标人具有建设行政主管部门颁发的建设工程质量检测检验机构资质证书（提供证书复印件并加盖投标人公章）；</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3</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s="Times New Roman"/>
          <w:color w:val="auto"/>
          <w:sz w:val="24"/>
          <w:szCs w:val="24"/>
          <w:lang w:eastAsia="zh-CN"/>
        </w:rPr>
        <w:t>投标人具有质量技术监督局颁发的检验检测机构资质认定证书（提供证书复印件并加盖投标人公章）。</w:t>
      </w:r>
    </w:p>
    <w:p>
      <w:pPr>
        <w:ind w:firstLine="480" w:firstLineChars="200"/>
        <w:rPr>
          <w:rFonts w:hint="eastAsia" w:ascii="方正仿宋_GBK" w:hAnsi="宋体" w:eastAsia="方正仿宋_GBK" w:cs="Times New Roman"/>
          <w:color w:val="auto"/>
          <w:sz w:val="24"/>
          <w:szCs w:val="24"/>
          <w:lang w:eastAsia="zh-CN"/>
        </w:rPr>
      </w:pPr>
    </w:p>
    <w:bookmarkEnd w:id="4"/>
    <w:bookmarkEnd w:id="5"/>
    <w:p>
      <w:pPr>
        <w:pStyle w:val="3"/>
        <w:spacing w:line="240" w:lineRule="auto"/>
        <w:rPr>
          <w:color w:val="auto"/>
          <w:sz w:val="24"/>
          <w:szCs w:val="24"/>
        </w:rPr>
      </w:pPr>
      <w:bookmarkStart w:id="16" w:name="_Toc25699"/>
      <w:bookmarkStart w:id="17" w:name="_Toc6"/>
      <w:bookmarkStart w:id="18" w:name="_Toc102227313"/>
      <w:bookmarkStart w:id="19" w:name="_Toc485108774"/>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（一）凡有意参加比选的供应商，请在重医附属永川医院官网下载本项目比选文件以及图纸、澄清等比选前公布的所有项目资料，无论供应商下载与否，均视为已知晓所有比选实质性要求内容。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日）起三个工作日。</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（三）报名方式</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凡有意参加的供应商，请于202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26</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0时至202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31</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线上报名方式：</w:t>
      </w:r>
      <w:r>
        <w:rPr>
          <w:color w:val="auto"/>
        </w:rPr>
        <w:fldChar w:fldCharType="begin"/>
      </w:r>
      <w:r>
        <w:rPr>
          <w:color w:val="auto"/>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auto"/>
        </w:rPr>
        <w:fldChar w:fldCharType="separate"/>
      </w:r>
      <w:r>
        <w:rPr>
          <w:rFonts w:hint="eastAsia" w:ascii="方正仿宋_GBK" w:hAnsi="宋体" w:eastAsia="方正仿宋_GBK" w:cs="Times New Roman"/>
          <w:color w:val="auto"/>
          <w:sz w:val="24"/>
          <w:szCs w:val="24"/>
        </w:rPr>
        <w:t>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color w:val="auto"/>
          <w:sz w:val="24"/>
          <w:szCs w:val="24"/>
        </w:rPr>
        <w:fldChar w:fldCharType="end"/>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left="10" w:leftChars="5"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2、按时</w:t>
      </w:r>
      <w:r>
        <w:rPr>
          <w:rFonts w:hint="eastAsia" w:ascii="方正仿宋_GBK" w:hAnsi="宋体" w:eastAsia="方正仿宋_GBK"/>
          <w:color w:val="auto"/>
          <w:sz w:val="24"/>
          <w:szCs w:val="24"/>
        </w:rPr>
        <w:t>线上报名</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（六）响应文件递交开始时间：20</w:t>
      </w:r>
      <w:r>
        <w:rPr>
          <w:rFonts w:hint="eastAsia" w:ascii="方正仿宋_GBK" w:hAnsi="宋体" w:eastAsia="方正仿宋_GBK" w:cs="Times New Roman"/>
          <w:color w:val="auto"/>
          <w:sz w:val="24"/>
          <w:szCs w:val="24"/>
          <w:lang w:val="en-US" w:eastAsia="zh-CN"/>
        </w:rPr>
        <w:t>22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日北京时间</w:t>
      </w: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日北京时间</w:t>
      </w:r>
      <w:bookmarkEnd w:id="20"/>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日北京时间</w:t>
      </w:r>
      <w:bookmarkEnd w:id="21"/>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w:t>
      </w:r>
    </w:p>
    <w:p>
      <w:pPr>
        <w:pStyle w:val="3"/>
        <w:bidi w:val="0"/>
        <w:rPr>
          <w:rFonts w:hint="eastAsia" w:ascii="微软雅黑" w:hAnsi="微软雅黑" w:eastAsia="微软雅黑" w:cs="微软雅黑"/>
          <w:color w:val="auto"/>
          <w:sz w:val="24"/>
          <w:szCs w:val="24"/>
        </w:rPr>
      </w:pPr>
      <w:bookmarkStart w:id="22" w:name="_Toc26525"/>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54718176"/>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047"/>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6605950"/>
      <w:bookmarkStart w:id="29" w:name="_Toc6742"/>
      <w:r>
        <w:rPr>
          <w:rFonts w:hint="eastAsia" w:ascii="微软雅黑" w:hAnsi="微软雅黑" w:eastAsia="微软雅黑" w:cs="微软雅黑"/>
          <w:color w:val="auto"/>
          <w:sz w:val="24"/>
          <w:szCs w:val="24"/>
        </w:rPr>
        <w:t>七、防疫要求</w:t>
      </w:r>
      <w:bookmarkEnd w:id="28"/>
      <w:bookmarkEnd w:id="29"/>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关于加强交易现场疫情防控工作的通知</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hint="eastAsia" w:ascii="微软雅黑" w:hAnsi="微软雅黑" w:eastAsia="微软雅黑" w:cs="微软雅黑"/>
          <w:color w:val="auto"/>
          <w:sz w:val="24"/>
          <w:szCs w:val="24"/>
        </w:rPr>
      </w:pPr>
      <w:bookmarkStart w:id="31" w:name="_Toc29640"/>
      <w:r>
        <w:rPr>
          <w:rFonts w:hint="eastAsia" w:ascii="微软雅黑" w:hAnsi="微软雅黑" w:eastAsia="微软雅黑" w:cs="微软雅黑"/>
          <w:color w:val="auto"/>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color w:val="auto"/>
          <w:sz w:val="24"/>
          <w:szCs w:val="24"/>
        </w:rPr>
      </w:pPr>
      <w:bookmarkStart w:id="32"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2"/>
    <w:p>
      <w:pPr>
        <w:rPr>
          <w:rFonts w:hint="eastAsia"/>
          <w:color w:val="auto"/>
        </w:rPr>
      </w:pPr>
    </w:p>
    <w:p>
      <w:pPr>
        <w:pStyle w:val="2"/>
        <w:bidi w:val="0"/>
        <w:jc w:val="center"/>
        <w:rPr>
          <w:rFonts w:hint="eastAsia"/>
          <w:b/>
          <w:color w:val="auto"/>
        </w:rPr>
      </w:pPr>
      <w:bookmarkStart w:id="33" w:name="_Toc13632"/>
      <w:r>
        <w:rPr>
          <w:rFonts w:hint="eastAsia" w:ascii="微软雅黑" w:hAnsi="微软雅黑" w:eastAsia="微软雅黑" w:cs="微软雅黑"/>
          <w:b/>
          <w:bCs/>
          <w:color w:val="auto"/>
          <w:sz w:val="36"/>
          <w:szCs w:val="36"/>
        </w:rPr>
        <w:t>第二篇 供应商须知</w:t>
      </w:r>
      <w:bookmarkEnd w:id="33"/>
    </w:p>
    <w:p>
      <w:pPr>
        <w:pStyle w:val="3"/>
        <w:bidi w:val="0"/>
        <w:rPr>
          <w:rFonts w:hint="eastAsia" w:ascii="微软雅黑" w:hAnsi="微软雅黑" w:eastAsia="微软雅黑" w:cs="微软雅黑"/>
          <w:color w:val="auto"/>
          <w:sz w:val="24"/>
          <w:szCs w:val="24"/>
        </w:rPr>
      </w:pPr>
      <w:bookmarkStart w:id="34" w:name="_Toc18911"/>
      <w:r>
        <w:rPr>
          <w:rFonts w:hint="eastAsia" w:ascii="微软雅黑" w:hAnsi="微软雅黑" w:eastAsia="微软雅黑" w:cs="微软雅黑"/>
          <w:color w:val="auto"/>
          <w:sz w:val="24"/>
          <w:szCs w:val="24"/>
        </w:rPr>
        <w:t>一、比选费用</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5" w:name="_Toc31135"/>
      <w:r>
        <w:rPr>
          <w:rFonts w:hint="eastAsia" w:ascii="微软雅黑" w:hAnsi="微软雅黑" w:eastAsia="微软雅黑" w:cs="微软雅黑"/>
          <w:color w:val="auto"/>
          <w:sz w:val="24"/>
          <w:szCs w:val="24"/>
        </w:rPr>
        <w:t>二、比选文件</w:t>
      </w:r>
      <w:bookmarkEnd w:id="35"/>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6" w:name="_Toc30585"/>
      <w:r>
        <w:rPr>
          <w:rFonts w:hint="eastAsia" w:ascii="微软雅黑" w:hAnsi="微软雅黑" w:eastAsia="微软雅黑" w:cs="微软雅黑"/>
          <w:color w:val="auto"/>
          <w:sz w:val="24"/>
          <w:szCs w:val="24"/>
        </w:rPr>
        <w:t>三、比选要求</w:t>
      </w:r>
      <w:bookmarkEnd w:id="36"/>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比选</w:t>
      </w:r>
      <w:r>
        <w:rPr>
          <w:rFonts w:hint="eastAsia" w:ascii="方正仿宋_GBK" w:hAnsi="宋体" w:eastAsia="方正仿宋_GBK" w:cs="Times New Roman"/>
          <w:color w:val="auto"/>
          <w:sz w:val="24"/>
          <w:szCs w:val="24"/>
          <w:lang w:eastAsia="zh-CN"/>
        </w:rPr>
        <w:t>报价为包干价，包括常规检测内容及特殊检测内容的检测服务费，包含但不限于人工费、材料费、保险费、税费、检测机构另行委托检测所需的服务费（若有）等各项费用。</w:t>
      </w:r>
      <w:r>
        <w:rPr>
          <w:rFonts w:hint="eastAsia" w:ascii="方正仿宋_GBK" w:hAnsi="宋体" w:eastAsia="方正仿宋_GBK" w:cs="Times New Roman"/>
          <w:color w:val="auto"/>
          <w:sz w:val="24"/>
          <w:szCs w:val="24"/>
        </w:rPr>
        <w:t>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w:t>
      </w:r>
      <w:r>
        <w:rPr>
          <w:rFonts w:hint="eastAsia" w:ascii="仿宋" w:hAnsi="仿宋" w:eastAsia="仿宋" w:cs="仿宋"/>
          <w:color w:val="auto"/>
          <w:sz w:val="24"/>
          <w:szCs w:val="24"/>
        </w:rPr>
        <w:t xml:space="preserve"> </w:t>
      </w:r>
      <w:r>
        <w:rPr>
          <w:rFonts w:hint="eastAsia" w:ascii="方正仿宋_GBK" w:hAnsi="宋体" w:eastAsia="方正仿宋_GBK" w:cs="Times New Roman"/>
          <w:color w:val="auto"/>
          <w:sz w:val="24"/>
          <w:szCs w:val="24"/>
        </w:rPr>
        <w:t>邮寄</w:t>
      </w:r>
      <w:r>
        <w:rPr>
          <w:rFonts w:hint="eastAsia" w:ascii="仿宋" w:hAnsi="仿宋" w:eastAsia="仿宋" w:cs="仿宋"/>
          <w:color w:val="auto"/>
          <w:sz w:val="24"/>
          <w:szCs w:val="24"/>
        </w:rPr>
        <w:t>、</w:t>
      </w:r>
      <w:r>
        <w:rPr>
          <w:rFonts w:hint="eastAsia" w:ascii="方正仿宋_GBK" w:hAnsi="宋体" w:eastAsia="方正仿宋_GBK" w:cs="Times New Roman"/>
          <w:color w:val="auto"/>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7" w:name="OLE_LINK9"/>
      <w:bookmarkStart w:id="38" w:name="OLE_LINK3"/>
      <w:bookmarkStart w:id="39"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1.不符合规定的基本资格条件或特定资格条件；</w:t>
      </w:r>
    </w:p>
    <w:p>
      <w:pPr>
        <w:snapToGrid w:val="0"/>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3.响应文件不按规定签字、盖章；</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5、供应商的最后报价超过采购预算；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10、供应商以联合体形式参与比选的；</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hint="eastAsia" w:ascii="微软雅黑" w:hAnsi="微软雅黑" w:eastAsia="微软雅黑" w:cs="微软雅黑"/>
          <w:color w:val="auto"/>
          <w:sz w:val="24"/>
          <w:szCs w:val="24"/>
        </w:rPr>
      </w:pPr>
      <w:bookmarkStart w:id="40" w:name="_Toc18122"/>
      <w:bookmarkStart w:id="41" w:name="_Toc179714298"/>
      <w:bookmarkStart w:id="42" w:name="_Toc403569780"/>
      <w:bookmarkStart w:id="43" w:name="_Toc5326"/>
      <w:bookmarkStart w:id="44" w:name="_Toc102227319"/>
      <w:bookmarkStart w:id="45" w:name="_Toc342913393"/>
      <w:r>
        <w:rPr>
          <w:rFonts w:hint="eastAsia" w:ascii="微软雅黑" w:hAnsi="微软雅黑" w:eastAsia="微软雅黑" w:cs="微软雅黑"/>
          <w:color w:val="auto"/>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6" w:name="_Toc32150"/>
      <w:bookmarkStart w:id="47" w:name="_Toc28776"/>
      <w:bookmarkStart w:id="48" w:name="_Toc403569781"/>
      <w:bookmarkStart w:id="49" w:name="_Toc102227320"/>
      <w:bookmarkStart w:id="50" w:name="_Toc342913394"/>
      <w:r>
        <w:rPr>
          <w:rFonts w:hint="eastAsia" w:ascii="微软雅黑" w:hAnsi="微软雅黑" w:eastAsia="微软雅黑" w:cs="微软雅黑"/>
          <w:color w:val="auto"/>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51" w:name="_Toc403569782"/>
      <w:bookmarkStart w:id="52" w:name="_Toc12437"/>
      <w:bookmarkStart w:id="53" w:name="_Toc29340"/>
      <w:r>
        <w:rPr>
          <w:rFonts w:hint="eastAsia" w:ascii="微软雅黑" w:hAnsi="微软雅黑" w:eastAsia="微软雅黑" w:cs="微软雅黑"/>
          <w:color w:val="auto"/>
          <w:sz w:val="24"/>
          <w:szCs w:val="24"/>
        </w:rPr>
        <w:t>六、成交</w:t>
      </w:r>
      <w:bookmarkEnd w:id="49"/>
      <w:r>
        <w:rPr>
          <w:rFonts w:hint="eastAsia" w:ascii="微软雅黑" w:hAnsi="微软雅黑" w:eastAsia="微软雅黑" w:cs="微软雅黑"/>
          <w:color w:val="auto"/>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在采购过程中符合竞争要求的供应商或者报价未超过采购预算的供应商不足3家的，</w:t>
      </w:r>
      <w:r>
        <w:rPr>
          <w:rFonts w:hint="eastAsia" w:ascii="方正仿宋_GBK" w:hAnsi="宋体" w:eastAsia="方正仿宋_GBK"/>
          <w:color w:val="auto"/>
          <w:sz w:val="24"/>
          <w:szCs w:val="24"/>
        </w:rPr>
        <w:t>但《医院采购管理办法（试行）》第二十三条第一款（五）规定的情形除外。</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54" w:name="_Toc102227321"/>
      <w:bookmarkStart w:id="55" w:name="_Toc129"/>
      <w:bookmarkStart w:id="56" w:name="_Toc342913395"/>
      <w:bookmarkStart w:id="57" w:name="_Toc3212"/>
      <w:bookmarkStart w:id="58" w:name="_Toc403569783"/>
      <w:r>
        <w:rPr>
          <w:rFonts w:hint="eastAsia" w:ascii="微软雅黑" w:hAnsi="微软雅黑" w:eastAsia="微软雅黑" w:cs="微软雅黑"/>
          <w:color w:val="auto"/>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9" w:name="_Toc817"/>
      <w:bookmarkStart w:id="60" w:name="_Toc17413"/>
      <w:bookmarkStart w:id="61" w:name="_Toc403569784"/>
      <w:r>
        <w:rPr>
          <w:rFonts w:hint="eastAsia" w:ascii="微软雅黑" w:hAnsi="微软雅黑" w:eastAsia="微软雅黑" w:cs="微软雅黑"/>
          <w:color w:val="auto"/>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2" w:name="_Toc102227322"/>
      <w:bookmarkStart w:id="63" w:name="_Toc342913396"/>
      <w:bookmarkStart w:id="64" w:name="_Toc6381"/>
      <w:bookmarkStart w:id="65"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6" w:name="_Toc23608"/>
      <w:r>
        <w:rPr>
          <w:rFonts w:hint="eastAsia" w:ascii="微软雅黑" w:hAnsi="微软雅黑" w:eastAsia="微软雅黑" w:cs="微软雅黑"/>
          <w:color w:val="auto"/>
          <w:sz w:val="24"/>
          <w:szCs w:val="24"/>
        </w:rPr>
        <w:t>九、签订</w:t>
      </w:r>
      <w:bookmarkEnd w:id="62"/>
      <w:r>
        <w:rPr>
          <w:rFonts w:hint="eastAsia" w:ascii="微软雅黑" w:hAnsi="微软雅黑" w:eastAsia="微软雅黑" w:cs="微软雅黑"/>
          <w:color w:val="auto"/>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7" w:name="_Toc17553"/>
      <w:bookmarkStart w:id="68" w:name="_Toc15659"/>
      <w:bookmarkStart w:id="69" w:name="_Toc29479"/>
      <w:r>
        <w:rPr>
          <w:rFonts w:hint="eastAsia" w:ascii="微软雅黑" w:hAnsi="微软雅黑" w:eastAsia="微软雅黑" w:cs="微软雅黑"/>
          <w:color w:val="auto"/>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pStyle w:val="2"/>
        <w:jc w:val="center"/>
        <w:rPr>
          <w:b/>
          <w:color w:val="auto"/>
          <w:sz w:val="44"/>
          <w:szCs w:val="44"/>
        </w:rPr>
      </w:pPr>
      <w:bookmarkStart w:id="70" w:name="_Toc11564"/>
      <w:bookmarkStart w:id="71" w:name="_Toc485108784"/>
      <w:r>
        <w:rPr>
          <w:rFonts w:hint="eastAsia" w:ascii="微软雅黑" w:hAnsi="微软雅黑" w:eastAsia="微软雅黑" w:cs="微软雅黑"/>
          <w:b/>
          <w:color w:val="auto"/>
          <w:sz w:val="36"/>
          <w:szCs w:val="36"/>
        </w:rPr>
        <w:t>第三篇  项目服务需求</w:t>
      </w:r>
      <w:bookmarkEnd w:id="70"/>
      <w:bookmarkEnd w:id="71"/>
    </w:p>
    <w:p>
      <w:pPr>
        <w:rPr>
          <w:rFonts w:ascii="Times New Roman" w:hAnsi="Times New Roman" w:eastAsia="宋体" w:cs="Times New Roman"/>
          <w:color w:val="auto"/>
          <w:sz w:val="28"/>
          <w:szCs w:val="20"/>
        </w:rPr>
      </w:pP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72" w:name="_Toc485108785"/>
      <w:bookmarkStart w:id="73" w:name="_Toc23194"/>
      <w:bookmarkStart w:id="74" w:name="_Toc12789058"/>
      <w:r>
        <w:rPr>
          <w:rFonts w:hint="eastAsia" w:ascii="微软雅黑" w:hAnsi="微软雅黑" w:eastAsia="微软雅黑" w:cs="微软雅黑"/>
          <w:color w:val="auto"/>
          <w:sz w:val="24"/>
          <w:szCs w:val="24"/>
        </w:rPr>
        <w:t>一、</w:t>
      </w:r>
      <w:bookmarkEnd w:id="72"/>
      <w:r>
        <w:rPr>
          <w:rFonts w:hint="eastAsia" w:ascii="微软雅黑" w:hAnsi="微软雅黑" w:eastAsia="微软雅黑" w:cs="微软雅黑"/>
          <w:color w:val="auto"/>
          <w:sz w:val="24"/>
          <w:szCs w:val="24"/>
        </w:rPr>
        <w:t>项目一览表</w:t>
      </w:r>
      <w:bookmarkEnd w:id="73"/>
    </w:p>
    <w:tbl>
      <w:tblPr>
        <w:tblStyle w:val="58"/>
        <w:tblW w:w="9659" w:type="dxa"/>
        <w:tblInd w:w="534" w:type="dxa"/>
        <w:tblLayout w:type="fixed"/>
        <w:tblCellMar>
          <w:top w:w="0" w:type="dxa"/>
          <w:left w:w="108" w:type="dxa"/>
          <w:bottom w:w="0" w:type="dxa"/>
          <w:right w:w="108" w:type="dxa"/>
        </w:tblCellMar>
      </w:tblPr>
      <w:tblGrid>
        <w:gridCol w:w="2693"/>
        <w:gridCol w:w="2613"/>
        <w:gridCol w:w="2206"/>
        <w:gridCol w:w="2147"/>
      </w:tblGrid>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成交供应商数量</w:t>
            </w:r>
          </w:p>
        </w:tc>
        <w:tc>
          <w:tcPr>
            <w:tcW w:w="2206"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最高限价（元）</w:t>
            </w:r>
          </w:p>
        </w:tc>
        <w:tc>
          <w:tcPr>
            <w:tcW w:w="2147"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宋体" w:eastAsia="方正仿宋_GBK"/>
                <w:color w:val="auto"/>
                <w:szCs w:val="21"/>
              </w:rPr>
              <w:t>红河院区建设项目工程材料检验试验服务</w:t>
            </w:r>
          </w:p>
        </w:tc>
        <w:tc>
          <w:tcPr>
            <w:tcW w:w="2613"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206"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w:t>
            </w:r>
          </w:p>
        </w:tc>
        <w:tc>
          <w:tcPr>
            <w:tcW w:w="2147" w:type="dxa"/>
            <w:tcBorders>
              <w:top w:val="single" w:color="auto" w:sz="4" w:space="0"/>
              <w:left w:val="nil"/>
              <w:bottom w:val="single" w:color="auto" w:sz="4" w:space="0"/>
              <w:right w:val="single" w:color="auto" w:sz="4" w:space="0"/>
            </w:tcBorders>
            <w:vAlign w:val="center"/>
          </w:tcPr>
          <w:p>
            <w:pPr>
              <w:pageBreakBefore w:val="0"/>
              <w:widowControl w:val="0"/>
              <w:kinsoku/>
              <w:wordWrap/>
              <w:overflowPunct/>
              <w:topLinePunct w:val="0"/>
              <w:autoSpaceDE/>
              <w:autoSpaceDN/>
              <w:bidi w:val="0"/>
              <w:adjustRightInd/>
              <w:snapToGrid w:val="0"/>
              <w:spacing w:line="240" w:lineRule="auto"/>
              <w:jc w:val="center"/>
              <w:textAlignment w:val="auto"/>
              <w:rPr>
                <w:rFonts w:ascii="方正仿宋_GBK" w:hAnsi="仿宋" w:eastAsia="方正仿宋_GBK" w:cs="仿宋"/>
                <w:color w:val="auto"/>
                <w:sz w:val="24"/>
                <w:szCs w:val="24"/>
              </w:rPr>
            </w:pPr>
          </w:p>
        </w:tc>
      </w:tr>
    </w:tbl>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项目概况及建设规模</w:t>
      </w:r>
    </w:p>
    <w:p>
      <w:pPr>
        <w:keepNext w:val="0"/>
        <w:keepLines w:val="0"/>
        <w:pageBreakBefore w:val="0"/>
        <w:widowControl w:val="0"/>
        <w:numPr>
          <w:numId w:val="0"/>
        </w:numPr>
        <w:kinsoku/>
        <w:wordWrap/>
        <w:overflowPunct/>
        <w:topLinePunct w:val="0"/>
        <w:autoSpaceDE/>
        <w:autoSpaceDN/>
        <w:bidi w:val="0"/>
        <w:adjustRightInd/>
        <w:snapToGrid/>
        <w:spacing w:line="240" w:lineRule="auto"/>
        <w:ind w:firstLine="480" w:firstLineChars="200"/>
        <w:textAlignment w:val="auto"/>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本项目系装修工程，建成后是集围产保健、分娩、产后康复为一体的独立产科，装修总建筑面积为6200㎡，其中：医疗业务用房5000㎡、医疗辅助用房1200㎡。配套建设场内道路、给排水、医疗废物污水处理、消防、电力、通信等相关设施。</w:t>
      </w:r>
    </w:p>
    <w:p>
      <w:pPr>
        <w:pStyle w:val="3"/>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auto"/>
          <w:sz w:val="24"/>
          <w:szCs w:val="24"/>
        </w:rPr>
      </w:pPr>
      <w:bookmarkStart w:id="75" w:name="_Toc485108786"/>
      <w:bookmarkStart w:id="76" w:name="_Toc30719"/>
      <w:r>
        <w:rPr>
          <w:rFonts w:hint="eastAsia" w:ascii="微软雅黑" w:hAnsi="微软雅黑" w:eastAsia="微软雅黑" w:cs="微软雅黑"/>
          <w:color w:val="auto"/>
          <w:sz w:val="24"/>
          <w:szCs w:val="24"/>
          <w:lang w:eastAsia="zh-CN"/>
        </w:rPr>
        <w:t>三</w:t>
      </w:r>
      <w:bookmarkStart w:id="180" w:name="_GoBack"/>
      <w:bookmarkEnd w:id="180"/>
      <w:r>
        <w:rPr>
          <w:rFonts w:hint="eastAsia" w:ascii="微软雅黑" w:hAnsi="微软雅黑" w:eastAsia="微软雅黑" w:cs="微软雅黑"/>
          <w:color w:val="auto"/>
          <w:sz w:val="24"/>
          <w:szCs w:val="24"/>
        </w:rPr>
        <w:t>、服务要求</w:t>
      </w:r>
      <w:bookmarkEnd w:id="75"/>
      <w:bookmarkEnd w:id="76"/>
    </w:p>
    <w:p>
      <w:pPr>
        <w:pageBreakBefore w:val="0"/>
        <w:widowControl w:val="0"/>
        <w:kinsoku/>
        <w:wordWrap/>
        <w:overflowPunct/>
        <w:topLinePunct w:val="0"/>
        <w:autoSpaceDE/>
        <w:autoSpaceDN/>
        <w:bidi w:val="0"/>
        <w:adjustRightInd/>
        <w:spacing w:line="240" w:lineRule="auto"/>
        <w:ind w:firstLine="480" w:firstLineChars="200"/>
        <w:jc w:val="left"/>
        <w:textAlignment w:val="auto"/>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）服务范围：根据相关规范要求，对本建设项目的实体质量及建筑原材料进行检测（含常规检测和特殊检测）</w:t>
      </w:r>
    </w:p>
    <w:p>
      <w:pPr>
        <w:spacing w:line="400" w:lineRule="exact"/>
        <w:ind w:firstLine="480" w:firstLineChars="200"/>
        <w:jc w:val="left"/>
        <w:outlineLvl w:val="2"/>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二</w:t>
      </w:r>
      <w:r>
        <w:rPr>
          <w:rFonts w:hint="eastAsia" w:ascii="方正仿宋_GBK" w:hAnsi="宋体" w:eastAsia="方正仿宋_GBK" w:cs="Times New Roman"/>
          <w:color w:val="auto"/>
          <w:sz w:val="24"/>
          <w:szCs w:val="24"/>
        </w:rPr>
        <w:t>）其他需求：若该工程存在超出检测机构检测范围的内容，则由检测机构另行委托有检测资质及能力的机构完成检测并按照客观的数据出具检测报告。</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jc w:val="left"/>
        <w:outlineLvl w:val="2"/>
        <w:rPr>
          <w:rFonts w:hint="eastAsia" w:ascii="方正仿宋_GBK" w:hAnsi="宋体" w:eastAsia="方正仿宋_GBK" w:cs="Times New Roman"/>
          <w:color w:val="auto"/>
          <w:sz w:val="24"/>
          <w:szCs w:val="24"/>
        </w:rPr>
      </w:pPr>
    </w:p>
    <w:p>
      <w:pPr>
        <w:spacing w:line="400" w:lineRule="exact"/>
        <w:jc w:val="left"/>
        <w:outlineLvl w:val="2"/>
        <w:rPr>
          <w:rFonts w:hint="eastAsia" w:ascii="方正仿宋_GBK" w:hAnsi="宋体" w:eastAsia="方正仿宋_GBK" w:cs="Times New Roman"/>
          <w:color w:val="auto"/>
          <w:sz w:val="24"/>
          <w:szCs w:val="24"/>
        </w:rPr>
      </w:pPr>
    </w:p>
    <w:p>
      <w:pPr>
        <w:spacing w:line="400" w:lineRule="exact"/>
        <w:jc w:val="left"/>
        <w:outlineLvl w:val="2"/>
        <w:rPr>
          <w:rFonts w:hint="eastAsia" w:ascii="方正仿宋_GBK" w:hAnsi="宋体" w:eastAsia="方正仿宋_GBK" w:cs="Times New Roman"/>
          <w:color w:val="auto"/>
          <w:sz w:val="24"/>
          <w:szCs w:val="24"/>
        </w:rPr>
      </w:pPr>
    </w:p>
    <w:p>
      <w:pPr>
        <w:spacing w:line="400" w:lineRule="exact"/>
        <w:jc w:val="left"/>
        <w:outlineLvl w:val="2"/>
        <w:rPr>
          <w:rFonts w:hint="eastAsia" w:ascii="方正仿宋_GBK" w:hAnsi="宋体" w:eastAsia="方正仿宋_GBK" w:cs="Times New Roman"/>
          <w:color w:val="auto"/>
          <w:sz w:val="24"/>
          <w:szCs w:val="24"/>
        </w:rPr>
      </w:pPr>
    </w:p>
    <w:p>
      <w:pPr>
        <w:spacing w:line="400" w:lineRule="exact"/>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b/>
          <w:color w:val="auto"/>
          <w:sz w:val="44"/>
          <w:szCs w:val="44"/>
        </w:rPr>
      </w:pPr>
      <w:bookmarkStart w:id="77" w:name="_Toc12324"/>
      <w:bookmarkStart w:id="78" w:name="_Toc485108787"/>
      <w:r>
        <w:rPr>
          <w:rFonts w:hint="eastAsia" w:ascii="微软雅黑" w:hAnsi="微软雅黑" w:eastAsia="微软雅黑" w:cs="微软雅黑"/>
          <w:b/>
          <w:color w:val="auto"/>
          <w:sz w:val="36"/>
          <w:szCs w:val="36"/>
        </w:rPr>
        <w:t>第四篇  项目商务需求</w:t>
      </w:r>
      <w:bookmarkEnd w:id="74"/>
      <w:bookmarkEnd w:id="77"/>
      <w:bookmarkEnd w:id="78"/>
      <w:bookmarkStart w:id="79" w:name="_Toc12789059"/>
      <w:bookmarkStart w:id="80" w:name="_Toc11641055"/>
    </w:p>
    <w:p>
      <w:pPr>
        <w:pStyle w:val="3"/>
        <w:spacing w:line="240" w:lineRule="auto"/>
        <w:rPr>
          <w:rFonts w:hint="eastAsia" w:ascii="微软雅黑" w:hAnsi="微软雅黑" w:eastAsia="微软雅黑" w:cs="微软雅黑"/>
          <w:color w:val="auto"/>
          <w:sz w:val="24"/>
          <w:szCs w:val="24"/>
        </w:rPr>
      </w:pPr>
      <w:bookmarkStart w:id="81" w:name="_Toc485108788"/>
      <w:bookmarkStart w:id="82" w:name="_Toc19737"/>
      <w:bookmarkStart w:id="83" w:name="_Toc344475121"/>
      <w:r>
        <w:rPr>
          <w:rFonts w:hint="eastAsia" w:ascii="微软雅黑" w:hAnsi="微软雅黑" w:eastAsia="微软雅黑" w:cs="微软雅黑"/>
          <w:color w:val="auto"/>
          <w:sz w:val="24"/>
          <w:szCs w:val="24"/>
        </w:rPr>
        <w:t>一、服务时间、地点及验收方式</w:t>
      </w:r>
      <w:bookmarkEnd w:id="81"/>
      <w:bookmarkEnd w:id="82"/>
    </w:p>
    <w:p>
      <w:pPr>
        <w:spacing w:line="360" w:lineRule="auto"/>
        <w:ind w:firstLine="564" w:firstLineChars="235"/>
        <w:rPr>
          <w:rFonts w:ascii="仿宋" w:hAnsi="仿宋" w:eastAsia="仿宋" w:cs="仿宋"/>
          <w:color w:val="auto"/>
          <w:sz w:val="24"/>
          <w:szCs w:val="24"/>
        </w:rPr>
      </w:pPr>
      <w:r>
        <w:rPr>
          <w:rFonts w:hint="eastAsia" w:ascii="方正仿宋_GBK" w:hAnsi="宋体" w:eastAsia="方正仿宋_GBK" w:cs="Times New Roman"/>
          <w:color w:val="auto"/>
          <w:sz w:val="24"/>
          <w:szCs w:val="24"/>
        </w:rPr>
        <w:t>（一）服务时间：</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（二）服务地点：重庆医科大学附属永川医院（</w:t>
      </w:r>
      <w:r>
        <w:rPr>
          <w:rFonts w:hint="eastAsia" w:ascii="方正仿宋_GBK" w:hAnsi="宋体" w:eastAsia="方正仿宋_GBK"/>
          <w:color w:val="auto"/>
          <w:sz w:val="24"/>
          <w:szCs w:val="24"/>
        </w:rPr>
        <w:t>重庆市永川区萱花路439号</w:t>
      </w:r>
      <w:r>
        <w:rPr>
          <w:rFonts w:hint="eastAsia" w:ascii="方正仿宋_GBK" w:hAnsi="宋体" w:eastAsia="方正仿宋_GBK" w:cs="Times New Roman"/>
          <w:color w:val="auto"/>
          <w:sz w:val="24"/>
          <w:szCs w:val="24"/>
        </w:rPr>
        <w:t xml:space="preserve">） </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w:t>
      </w:r>
      <w:r>
        <w:rPr>
          <w:rFonts w:hint="eastAsia" w:ascii="方正仿宋_GBK" w:hAnsi="宋体" w:eastAsia="方正仿宋_GBK"/>
          <w:color w:val="auto"/>
          <w:sz w:val="24"/>
          <w:szCs w:val="24"/>
        </w:rPr>
        <w:t>合同执行完成，由供应商提交验收申请后，采购人7个工作日内组织履约情况验收。</w:t>
      </w:r>
    </w:p>
    <w:bookmarkEnd w:id="83"/>
    <w:p>
      <w:pPr>
        <w:pStyle w:val="3"/>
        <w:spacing w:line="240" w:lineRule="auto"/>
        <w:rPr>
          <w:rFonts w:hint="eastAsia" w:ascii="微软雅黑" w:hAnsi="微软雅黑" w:eastAsia="微软雅黑" w:cs="微软雅黑"/>
          <w:color w:val="auto"/>
          <w:sz w:val="24"/>
          <w:szCs w:val="24"/>
        </w:rPr>
      </w:pPr>
      <w:bookmarkStart w:id="84" w:name="_Toc7312"/>
      <w:bookmarkStart w:id="85" w:name="_Toc485108789"/>
      <w:bookmarkStart w:id="86" w:name="_Toc485108790"/>
      <w:bookmarkStart w:id="87" w:name="_Toc344475122"/>
      <w:r>
        <w:rPr>
          <w:rFonts w:hint="eastAsia" w:ascii="微软雅黑" w:hAnsi="微软雅黑" w:eastAsia="微软雅黑" w:cs="微软雅黑"/>
          <w:color w:val="auto"/>
          <w:sz w:val="24"/>
          <w:szCs w:val="24"/>
        </w:rPr>
        <w:t>二、质量保证及售后服务</w:t>
      </w:r>
      <w:bookmarkEnd w:id="84"/>
      <w:bookmarkEnd w:id="8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（一）保证提供专人为本项目提供跟踪服务；</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（二）质量保证期过后，医院需要继续由原成交供应商和制造商提供售后服务的，成交供应商和制造商应以优惠价格提供售后服务。</w:t>
      </w:r>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（三）投标人可根据自身实力，作更为优惠的售后服务承诺。</w:t>
      </w:r>
    </w:p>
    <w:p>
      <w:pPr>
        <w:pStyle w:val="3"/>
        <w:spacing w:line="240" w:lineRule="auto"/>
        <w:rPr>
          <w:rFonts w:hint="eastAsia" w:ascii="微软雅黑" w:hAnsi="微软雅黑" w:eastAsia="微软雅黑" w:cs="微软雅黑"/>
          <w:color w:val="auto"/>
          <w:sz w:val="24"/>
          <w:szCs w:val="24"/>
        </w:rPr>
      </w:pPr>
      <w:bookmarkStart w:id="88" w:name="_Toc12251"/>
      <w:r>
        <w:rPr>
          <w:rFonts w:hint="eastAsia" w:ascii="微软雅黑" w:hAnsi="微软雅黑" w:eastAsia="微软雅黑" w:cs="微软雅黑"/>
          <w:color w:val="auto"/>
          <w:sz w:val="24"/>
          <w:szCs w:val="24"/>
        </w:rPr>
        <w:t>三、付款方式</w:t>
      </w:r>
      <w:bookmarkEnd w:id="86"/>
      <w:bookmarkEnd w:id="87"/>
      <w:bookmarkEnd w:id="88"/>
    </w:p>
    <w:p>
      <w:pPr>
        <w:snapToGrid w:val="0"/>
        <w:spacing w:line="400" w:lineRule="exact"/>
        <w:ind w:firstLine="480" w:firstLineChars="200"/>
        <w:rPr>
          <w:rFonts w:hint="eastAsia" w:ascii="方正仿宋_GBK" w:hAnsi="宋体" w:eastAsia="方正仿宋_GBK" w:cs="宋体"/>
          <w:color w:val="auto"/>
          <w:kern w:val="0"/>
          <w:sz w:val="24"/>
          <w:szCs w:val="24"/>
        </w:rPr>
      </w:pPr>
      <w:bookmarkStart w:id="89" w:name="_Toc485108791"/>
      <w:bookmarkStart w:id="90" w:name="_Toc403569793"/>
      <w:r>
        <w:rPr>
          <w:rFonts w:hint="eastAsia" w:ascii="方正仿宋_GBK" w:hAnsi="宋体" w:eastAsia="方正仿宋_GBK" w:cs="宋体"/>
          <w:color w:val="auto"/>
          <w:kern w:val="0"/>
          <w:sz w:val="24"/>
          <w:szCs w:val="24"/>
        </w:rPr>
        <w:t>检测服务费支付方式：装饰及安装工程完工后支付合同总价的90%，工程竣工验收合格后，7个工作日内一次性付清余款。（备注：每次付款前，需提供合法有效的发票）</w:t>
      </w:r>
      <w:bookmarkEnd w:id="89"/>
      <w:bookmarkEnd w:id="90"/>
    </w:p>
    <w:p>
      <w:pPr>
        <w:pStyle w:val="3"/>
        <w:spacing w:line="240" w:lineRule="auto"/>
        <w:rPr>
          <w:rFonts w:hint="eastAsia" w:ascii="微软雅黑" w:hAnsi="微软雅黑" w:eastAsia="微软雅黑" w:cs="微软雅黑"/>
          <w:color w:val="auto"/>
          <w:sz w:val="24"/>
          <w:szCs w:val="24"/>
        </w:rPr>
      </w:pPr>
      <w:bookmarkStart w:id="91" w:name="_Toc30364"/>
      <w:bookmarkStart w:id="92" w:name="_Toc403569795"/>
      <w:bookmarkStart w:id="93" w:name="_Toc485108793"/>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91"/>
      <w:bookmarkEnd w:id="92"/>
      <w:bookmarkEnd w:id="9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color w:val="auto"/>
          <w:sz w:val="24"/>
          <w:szCs w:val="24"/>
        </w:rPr>
      </w:pPr>
    </w:p>
    <w:p>
      <w:pPr>
        <w:pStyle w:val="2"/>
        <w:jc w:val="center"/>
        <w:rPr>
          <w:color w:val="auto"/>
          <w:sz w:val="44"/>
          <w:szCs w:val="44"/>
        </w:rPr>
      </w:pPr>
      <w:r>
        <w:rPr>
          <w:rFonts w:eastAsia="黑体"/>
          <w:b/>
          <w:color w:val="auto"/>
        </w:rPr>
        <w:br w:type="page"/>
      </w:r>
      <w:bookmarkEnd w:id="79"/>
      <w:bookmarkEnd w:id="80"/>
      <w:bookmarkStart w:id="94" w:name="_Toc30503"/>
      <w:bookmarkStart w:id="95" w:name="_Toc485108794"/>
      <w:bookmarkStart w:id="96" w:name="_Toc403569796"/>
      <w:bookmarkStart w:id="97" w:name="_Toc303945820"/>
      <w:bookmarkStart w:id="98" w:name="_Toc148265480"/>
      <w:r>
        <w:rPr>
          <w:rFonts w:hint="eastAsia" w:ascii="微软雅黑" w:hAnsi="微软雅黑" w:eastAsia="微软雅黑" w:cs="微软雅黑"/>
          <w:b/>
          <w:color w:val="auto"/>
          <w:sz w:val="36"/>
          <w:szCs w:val="36"/>
        </w:rPr>
        <w:t>第五篇  合同草案条款</w:t>
      </w:r>
      <w:bookmarkEnd w:id="94"/>
      <w:bookmarkEnd w:id="95"/>
      <w:bookmarkEnd w:id="96"/>
    </w:p>
    <w:p>
      <w:pPr>
        <w:pStyle w:val="3"/>
        <w:spacing w:line="240" w:lineRule="auto"/>
        <w:rPr>
          <w:rFonts w:hint="eastAsia" w:ascii="微软雅黑" w:hAnsi="微软雅黑" w:eastAsia="微软雅黑" w:cs="微软雅黑"/>
          <w:color w:val="auto"/>
          <w:sz w:val="24"/>
          <w:szCs w:val="24"/>
        </w:rPr>
      </w:pPr>
      <w:bookmarkStart w:id="99" w:name="_Toc54718202"/>
      <w:bookmarkStart w:id="100" w:name="_Toc14867"/>
      <w:r>
        <w:rPr>
          <w:rFonts w:hint="eastAsia" w:ascii="微软雅黑" w:hAnsi="微软雅黑" w:eastAsia="微软雅黑" w:cs="微软雅黑"/>
          <w:color w:val="auto"/>
          <w:sz w:val="24"/>
          <w:szCs w:val="24"/>
        </w:rPr>
        <w:t>一、定义</w:t>
      </w:r>
      <w:bookmarkEnd w:id="99"/>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988"/>
      <w:r>
        <w:rPr>
          <w:rFonts w:hint="eastAsia" w:ascii="方正仿宋_GBK" w:hAnsi="宋体" w:eastAsia="方正仿宋_GBK" w:cs="Times New Roman"/>
          <w:color w:val="auto"/>
          <w:sz w:val="24"/>
          <w:szCs w:val="24"/>
        </w:rPr>
        <w:t>（一）甲方（需方）即重庆医科大学附属永川医院。</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5"/>
    </w:p>
    <w:p>
      <w:pPr>
        <w:pStyle w:val="3"/>
        <w:spacing w:line="240" w:lineRule="auto"/>
        <w:rPr>
          <w:rFonts w:hint="eastAsia" w:ascii="微软雅黑" w:hAnsi="微软雅黑" w:eastAsia="微软雅黑" w:cs="微软雅黑"/>
          <w:color w:val="auto"/>
          <w:sz w:val="24"/>
          <w:szCs w:val="24"/>
        </w:rPr>
      </w:pPr>
      <w:bookmarkStart w:id="106" w:name="_Toc54718203"/>
      <w:bookmarkStart w:id="107" w:name="_Toc2070"/>
      <w:r>
        <w:rPr>
          <w:rFonts w:hint="eastAsia" w:ascii="微软雅黑" w:hAnsi="微软雅黑" w:eastAsia="微软雅黑" w:cs="微软雅黑"/>
          <w:color w:val="auto"/>
          <w:sz w:val="24"/>
          <w:szCs w:val="24"/>
        </w:rPr>
        <w:t>二、货物内容</w:t>
      </w:r>
      <w:bookmarkEnd w:id="106"/>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967"/>
      <w:r>
        <w:rPr>
          <w:rFonts w:hint="eastAsia" w:ascii="方正仿宋_GBK" w:hAnsi="宋体" w:eastAsia="方正仿宋_GBK" w:cs="Times New Roman"/>
          <w:color w:val="auto"/>
          <w:sz w:val="24"/>
          <w:szCs w:val="24"/>
        </w:rPr>
        <w:t>合同包括以下内容：</w:t>
      </w:r>
      <w:bookmarkEnd w:id="108"/>
      <w:r>
        <w:rPr>
          <w:rFonts w:hint="eastAsia" w:ascii="微软雅黑" w:hAnsi="微软雅黑" w:eastAsia="微软雅黑" w:cs="微软雅黑"/>
          <w:b w:val="0"/>
          <w:color w:val="auto"/>
          <w:kern w:val="2"/>
          <w:sz w:val="24"/>
          <w:szCs w:val="24"/>
          <w:lang w:val="en-US" w:eastAsia="zh-CN" w:bidi="ar-SA"/>
        </w:rPr>
        <w:t>服务内容、服务要求、工作方案</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9" w:name="_Toc54718204"/>
      <w:bookmarkStart w:id="110" w:name="_Toc27757"/>
      <w:r>
        <w:rPr>
          <w:rFonts w:hint="eastAsia" w:ascii="微软雅黑" w:hAnsi="微软雅黑" w:eastAsia="微软雅黑" w:cs="微软雅黑"/>
          <w:color w:val="auto"/>
          <w:sz w:val="24"/>
          <w:szCs w:val="24"/>
        </w:rPr>
        <w:t>三、合同价格</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25177"/>
      <w:bookmarkStart w:id="11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w:t>
      </w:r>
      <w:r>
        <w:rPr>
          <w:rFonts w:hint="eastAsia" w:ascii="方正仿宋_GBK" w:hAnsi="宋体" w:eastAsia="方正仿宋_GBK" w:cs="Times New Roman"/>
          <w:color w:val="auto"/>
          <w:sz w:val="24"/>
          <w:szCs w:val="24"/>
        </w:rPr>
        <w:t>单价。</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3890"/>
      <w:r>
        <w:rPr>
          <w:rFonts w:hint="eastAsia" w:ascii="方正仿宋_GBK" w:hAnsi="宋体" w:eastAsia="方正仿宋_GBK" w:cs="Times New Roman"/>
          <w:color w:val="auto"/>
          <w:sz w:val="24"/>
          <w:szCs w:val="24"/>
        </w:rPr>
        <w:t>（二）合同价格包括合同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、技术资料、合同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的税费、</w:t>
      </w:r>
      <w:r>
        <w:rPr>
          <w:rFonts w:hint="eastAsia" w:ascii="方正仿宋_GBK" w:hAnsi="宋体" w:eastAsia="方正仿宋_GBK" w:cs="Times New Roman"/>
          <w:color w:val="auto"/>
          <w:sz w:val="24"/>
          <w:szCs w:val="24"/>
          <w:lang w:eastAsia="zh-CN"/>
        </w:rPr>
        <w:t>人工费</w:t>
      </w:r>
      <w:r>
        <w:rPr>
          <w:rFonts w:hint="eastAsia" w:ascii="方正仿宋_GBK" w:hAnsi="宋体" w:eastAsia="方正仿宋_GBK" w:cs="Times New Roman"/>
          <w:color w:val="auto"/>
          <w:sz w:val="24"/>
          <w:szCs w:val="24"/>
        </w:rPr>
        <w:t>、保险费、及与</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有关的供方应纳的税费，所有税费由乙方负担。</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19296"/>
      <w:r>
        <w:rPr>
          <w:rFonts w:hint="eastAsia" w:ascii="方正仿宋_GBK" w:hAnsi="宋体" w:eastAsia="方正仿宋_GBK" w:cs="Times New Roman"/>
          <w:color w:val="auto"/>
          <w:sz w:val="24"/>
          <w:szCs w:val="24"/>
        </w:rPr>
        <w:t>（三）合同货物单价为不变价。</w:t>
      </w:r>
      <w:bookmarkEnd w:id="114"/>
    </w:p>
    <w:p>
      <w:pPr>
        <w:pStyle w:val="3"/>
        <w:spacing w:line="240" w:lineRule="auto"/>
        <w:rPr>
          <w:rFonts w:hint="eastAsia" w:ascii="微软雅黑" w:hAnsi="微软雅黑" w:eastAsia="微软雅黑" w:cs="微软雅黑"/>
          <w:color w:val="auto"/>
          <w:sz w:val="24"/>
          <w:szCs w:val="24"/>
        </w:rPr>
      </w:pPr>
      <w:bookmarkStart w:id="115" w:name="_Toc23604"/>
      <w:r>
        <w:rPr>
          <w:rFonts w:hint="eastAsia" w:ascii="微软雅黑" w:hAnsi="微软雅黑" w:eastAsia="微软雅黑" w:cs="微软雅黑"/>
          <w:color w:val="auto"/>
          <w:sz w:val="24"/>
          <w:szCs w:val="24"/>
        </w:rPr>
        <w:t>四、转包或分包</w:t>
      </w:r>
      <w:bookmarkEnd w:id="112"/>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8"/>
    </w:p>
    <w:p>
      <w:pPr>
        <w:pStyle w:val="3"/>
        <w:spacing w:line="240" w:lineRule="auto"/>
        <w:rPr>
          <w:rFonts w:hint="eastAsia" w:ascii="微软雅黑" w:hAnsi="微软雅黑" w:eastAsia="微软雅黑" w:cs="微软雅黑"/>
          <w:color w:val="auto"/>
          <w:sz w:val="24"/>
          <w:szCs w:val="24"/>
        </w:rPr>
      </w:pPr>
      <w:bookmarkStart w:id="119" w:name="_Toc54718206"/>
      <w:bookmarkStart w:id="120" w:name="_Toc24236"/>
      <w:r>
        <w:rPr>
          <w:rFonts w:hint="eastAsia" w:ascii="微软雅黑" w:hAnsi="微软雅黑" w:eastAsia="微软雅黑" w:cs="微软雅黑"/>
          <w:color w:val="auto"/>
          <w:sz w:val="24"/>
          <w:szCs w:val="24"/>
        </w:rPr>
        <w:t>五、质量保证及售后服务</w:t>
      </w:r>
      <w:bookmarkEnd w:id="119"/>
      <w:bookmarkEnd w:id="12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21" w:name="_Toc12985"/>
      <w:bookmarkStart w:id="122"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21"/>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22"/>
    </w:p>
    <w:p>
      <w:pPr>
        <w:pStyle w:val="3"/>
        <w:spacing w:line="240" w:lineRule="auto"/>
        <w:rPr>
          <w:rFonts w:hint="eastAsia" w:ascii="微软雅黑" w:hAnsi="微软雅黑" w:eastAsia="微软雅黑" w:cs="微软雅黑"/>
          <w:color w:val="auto"/>
          <w:sz w:val="24"/>
          <w:szCs w:val="24"/>
        </w:rPr>
      </w:pPr>
      <w:bookmarkStart w:id="123" w:name="_Toc10578"/>
      <w:bookmarkStart w:id="124" w:name="_Toc54718207"/>
      <w:r>
        <w:rPr>
          <w:rFonts w:hint="eastAsia" w:ascii="微软雅黑" w:hAnsi="微软雅黑" w:eastAsia="微软雅黑" w:cs="微软雅黑"/>
          <w:color w:val="auto"/>
          <w:sz w:val="24"/>
          <w:szCs w:val="24"/>
        </w:rPr>
        <w:t>六、付款</w:t>
      </w:r>
      <w:bookmarkEnd w:id="123"/>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23183"/>
      <w:r>
        <w:rPr>
          <w:rFonts w:hint="eastAsia" w:ascii="方正仿宋_GBK" w:hAnsi="宋体" w:eastAsia="方正仿宋_GBK" w:cs="Times New Roman"/>
          <w:color w:val="auto"/>
          <w:sz w:val="24"/>
          <w:szCs w:val="24"/>
        </w:rPr>
        <w:t>（一）本合同使用货币币制如未作特别说明均为人民币。</w:t>
      </w:r>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8880"/>
      <w:r>
        <w:rPr>
          <w:rFonts w:hint="eastAsia" w:ascii="方正仿宋_GBK" w:hAnsi="宋体" w:eastAsia="方正仿宋_GBK" w:cs="Times New Roman"/>
          <w:color w:val="auto"/>
          <w:sz w:val="24"/>
          <w:szCs w:val="24"/>
        </w:rPr>
        <w:t>（二）付款方式：银行转账。</w:t>
      </w:r>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7"/>
    </w:p>
    <w:p>
      <w:pPr>
        <w:pStyle w:val="3"/>
        <w:spacing w:line="240" w:lineRule="auto"/>
        <w:rPr>
          <w:rFonts w:hint="eastAsia" w:ascii="微软雅黑" w:hAnsi="微软雅黑" w:eastAsia="微软雅黑" w:cs="微软雅黑"/>
          <w:color w:val="auto"/>
          <w:sz w:val="24"/>
          <w:szCs w:val="24"/>
        </w:rPr>
      </w:pPr>
      <w:bookmarkStart w:id="128" w:name="_Toc54718211"/>
      <w:bookmarkStart w:id="129" w:name="_Toc15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8"/>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5382"/>
      <w:r>
        <w:rPr>
          <w:rFonts w:hint="eastAsia" w:ascii="方正仿宋_GBK" w:hAnsi="宋体" w:eastAsia="方正仿宋_GBK" w:cs="Times New Roman"/>
          <w:color w:val="auto"/>
          <w:sz w:val="24"/>
          <w:szCs w:val="24"/>
        </w:rPr>
        <w:t>（一）当事人友好协商达成一致</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29926"/>
      <w:r>
        <w:rPr>
          <w:rFonts w:hint="eastAsia" w:ascii="方正仿宋_GBK" w:hAnsi="宋体" w:eastAsia="方正仿宋_GBK" w:cs="Times New Roman"/>
          <w:color w:val="auto"/>
          <w:sz w:val="24"/>
          <w:szCs w:val="24"/>
        </w:rPr>
        <w:t>（二）在60天内当事人协商不能达成协议的，可提请医院当地仲裁机构仲裁。</w:t>
      </w:r>
      <w:bookmarkEnd w:id="131"/>
    </w:p>
    <w:p>
      <w:pPr>
        <w:pStyle w:val="3"/>
        <w:spacing w:line="240" w:lineRule="auto"/>
        <w:rPr>
          <w:rFonts w:hint="eastAsia" w:ascii="微软雅黑" w:hAnsi="微软雅黑" w:eastAsia="微软雅黑" w:cs="微软雅黑"/>
          <w:color w:val="auto"/>
          <w:sz w:val="24"/>
          <w:szCs w:val="24"/>
        </w:rPr>
      </w:pPr>
      <w:bookmarkStart w:id="132" w:name="_Toc54718212"/>
      <w:bookmarkStart w:id="133" w:name="_Toc10903"/>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、违约责任</w:t>
      </w:r>
      <w:bookmarkEnd w:id="132"/>
      <w:bookmarkEnd w:id="133"/>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4"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）按《中华人民共和国民法典》有关条款，在合同期内，乙方对货物与合同要求不符承担责任，并且甲方已于规定合同期内提出违约，乙方应按甲方同意的下述一种或多种方法解决违约事宜。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5" w:name="_Toc8061"/>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、合同生效及其它</w:t>
      </w:r>
      <w:bookmarkEnd w:id="134"/>
      <w:bookmarkEnd w:id="135"/>
    </w:p>
    <w:p>
      <w:pPr>
        <w:snapToGrid w:val="0"/>
        <w:spacing w:line="400" w:lineRule="exact"/>
        <w:ind w:firstLine="480" w:firstLineChars="200"/>
        <w:jc w:val="left"/>
        <w:rPr>
          <w:rFonts w:ascii="方正仿宋_GBK" w:hAnsi="宋体" w:eastAsia="方正仿宋_GBK" w:cs="Times New Roman"/>
          <w:color w:val="auto"/>
          <w:sz w:val="24"/>
          <w:szCs w:val="24"/>
        </w:rPr>
      </w:pPr>
      <w:bookmarkStart w:id="136" w:name="_Toc7071"/>
      <w:r>
        <w:rPr>
          <w:rFonts w:hint="eastAsia" w:ascii="方正仿宋_GBK" w:hAnsi="宋体" w:eastAsia="方正仿宋_GBK" w:cs="Times New Roman"/>
          <w:color w:val="auto"/>
          <w:sz w:val="24"/>
          <w:szCs w:val="24"/>
        </w:rPr>
        <w:t>（一）合同生效及其效力应符合《中华人民共和国民法典》有关规定。</w:t>
      </w:r>
      <w:bookmarkEnd w:id="136"/>
    </w:p>
    <w:p>
      <w:pPr>
        <w:snapToGrid w:val="0"/>
        <w:spacing w:line="400" w:lineRule="exact"/>
        <w:ind w:firstLine="480" w:firstLineChars="200"/>
        <w:jc w:val="left"/>
        <w:rPr>
          <w:rFonts w:ascii="方正仿宋_GBK" w:hAnsi="宋体" w:eastAsia="方正仿宋_GBK" w:cs="Times New Roman"/>
          <w:color w:val="auto"/>
          <w:sz w:val="24"/>
          <w:szCs w:val="24"/>
        </w:rPr>
      </w:pPr>
      <w:bookmarkStart w:id="137"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7"/>
    </w:p>
    <w:p>
      <w:pPr>
        <w:snapToGrid w:val="0"/>
        <w:spacing w:line="400" w:lineRule="exact"/>
        <w:ind w:firstLine="480" w:firstLineChars="200"/>
        <w:jc w:val="left"/>
        <w:rPr>
          <w:rFonts w:ascii="方正仿宋_GBK" w:hAnsi="宋体" w:eastAsia="方正仿宋_GBK" w:cs="Times New Roman"/>
          <w:color w:val="auto"/>
          <w:sz w:val="24"/>
          <w:szCs w:val="24"/>
        </w:rPr>
      </w:pPr>
      <w:bookmarkStart w:id="138"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28233"/>
      <w:r>
        <w:rPr>
          <w:rFonts w:hint="eastAsia" w:ascii="方正仿宋_GBK" w:hAnsi="宋体" w:eastAsia="方正仿宋_GBK" w:cs="Times New Roman"/>
          <w:color w:val="auto"/>
          <w:sz w:val="24"/>
          <w:szCs w:val="24"/>
        </w:rPr>
        <w:t>（四）合同需提供担保的，按《中华人民共和国担保法》规定执行。</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0"/>
    </w:p>
    <w:p>
      <w:pPr>
        <w:snapToGrid w:val="0"/>
        <w:spacing w:line="400" w:lineRule="exact"/>
        <w:ind w:firstLine="480" w:firstLineChars="200"/>
        <w:rPr>
          <w:rFonts w:hint="eastAsia" w:ascii="方正仿宋_GBK" w:hAnsi="Times New Roman" w:eastAsia="方正仿宋_GBK" w:cs="Times New Roman"/>
          <w:color w:val="auto"/>
          <w:sz w:val="24"/>
          <w:szCs w:val="20"/>
        </w:rPr>
      </w:pPr>
    </w:p>
    <w:bookmarkEnd w:id="97"/>
    <w:bookmarkEnd w:id="9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r>
        <w:rPr>
          <w:rFonts w:hint="eastAsia" w:ascii="Times New Roman" w:hAnsi="Times New Roman" w:eastAsia="宋体" w:cs="Times New Roman"/>
          <w:color w:val="auto"/>
          <w:sz w:val="28"/>
          <w:szCs w:val="20"/>
        </w:rPr>
        <w:t xml:space="preserve"> </w:t>
      </w:r>
    </w:p>
    <w:p>
      <w:pPr>
        <w:pStyle w:val="2"/>
        <w:jc w:val="center"/>
        <w:rPr>
          <w:rFonts w:hint="eastAsia" w:ascii="微软雅黑" w:hAnsi="微软雅黑" w:eastAsia="微软雅黑" w:cs="微软雅黑"/>
          <w:b/>
          <w:color w:val="auto"/>
          <w:sz w:val="36"/>
          <w:szCs w:val="36"/>
        </w:rPr>
      </w:pPr>
      <w:bookmarkStart w:id="141" w:name="_Hlt41879464"/>
      <w:bookmarkEnd w:id="141"/>
      <w:bookmarkStart w:id="142" w:name="_Toc485108795"/>
      <w:bookmarkStart w:id="143" w:name="_Toc8495"/>
      <w:bookmarkStart w:id="144" w:name="_Toc12789072"/>
      <w:r>
        <w:rPr>
          <w:rFonts w:hint="eastAsia" w:ascii="微软雅黑" w:hAnsi="微软雅黑" w:eastAsia="微软雅黑" w:cs="微软雅黑"/>
          <w:b/>
          <w:color w:val="auto"/>
          <w:sz w:val="36"/>
          <w:szCs w:val="36"/>
        </w:rPr>
        <w:t>第六篇  响应文件格式要求</w:t>
      </w:r>
      <w:bookmarkEnd w:id="142"/>
      <w:bookmarkEnd w:id="143"/>
      <w:bookmarkEnd w:id="144"/>
    </w:p>
    <w:p>
      <w:pPr>
        <w:pStyle w:val="3"/>
        <w:spacing w:line="240" w:lineRule="auto"/>
        <w:rPr>
          <w:rFonts w:hint="eastAsia" w:ascii="微软雅黑" w:hAnsi="微软雅黑" w:eastAsia="微软雅黑" w:cs="微软雅黑"/>
          <w:color w:val="auto"/>
          <w:sz w:val="24"/>
          <w:szCs w:val="24"/>
        </w:rPr>
      </w:pPr>
      <w:bookmarkStart w:id="145" w:name="_Toc27547"/>
      <w:r>
        <w:rPr>
          <w:rFonts w:hint="eastAsia" w:ascii="微软雅黑" w:hAnsi="微软雅黑" w:eastAsia="微软雅黑" w:cs="微软雅黑"/>
          <w:color w:val="auto"/>
          <w:sz w:val="24"/>
          <w:szCs w:val="24"/>
        </w:rPr>
        <w:t>一、经济部分</w:t>
      </w:r>
      <w:bookmarkEnd w:id="14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6" w:name="_Toc3006"/>
      <w:r>
        <w:rPr>
          <w:rFonts w:hint="eastAsia" w:ascii="微软雅黑" w:hAnsi="微软雅黑" w:eastAsia="微软雅黑" w:cs="微软雅黑"/>
          <w:color w:val="auto"/>
          <w:sz w:val="24"/>
          <w:szCs w:val="24"/>
        </w:rPr>
        <w:t>二、服务部分</w:t>
      </w:r>
      <w:bookmarkEnd w:id="146"/>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7" w:name="_Toc9038"/>
      <w:r>
        <w:rPr>
          <w:rFonts w:hint="eastAsia" w:ascii="微软雅黑" w:hAnsi="微软雅黑" w:eastAsia="微软雅黑" w:cs="微软雅黑"/>
          <w:color w:val="auto"/>
          <w:sz w:val="24"/>
          <w:szCs w:val="24"/>
        </w:rPr>
        <w:t>三、商务部分</w:t>
      </w:r>
      <w:bookmarkEnd w:id="147"/>
    </w:p>
    <w:p>
      <w:pPr>
        <w:snapToGrid w:val="0"/>
        <w:spacing w:line="360" w:lineRule="auto"/>
        <w:ind w:firstLine="480" w:firstLineChars="200"/>
        <w:rPr>
          <w:rFonts w:hint="eastAsia" w:ascii="微软雅黑" w:hAnsi="微软雅黑" w:eastAsia="微软雅黑" w:cs="微软雅黑"/>
          <w:color w:val="auto"/>
          <w:sz w:val="24"/>
          <w:szCs w:val="24"/>
        </w:rPr>
      </w:pPr>
      <w:bookmarkStart w:id="148" w:name="_Toc38358147"/>
      <w:bookmarkStart w:id="149" w:name="OLE_LINK10"/>
      <w:bookmarkStart w:id="150" w:name="OLE_LINK11"/>
      <w:r>
        <w:rPr>
          <w:rFonts w:hint="eastAsia" w:ascii="微软雅黑" w:hAnsi="微软雅黑" w:eastAsia="微软雅黑" w:cs="微软雅黑"/>
          <w:color w:val="auto"/>
          <w:sz w:val="24"/>
          <w:szCs w:val="24"/>
        </w:rPr>
        <w:t>（一）按照“第四篇  项目商务需求”提供相应资料</w:t>
      </w:r>
      <w:bookmarkEnd w:id="148"/>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1" w:name="_Toc21029"/>
      <w:r>
        <w:rPr>
          <w:rFonts w:hint="eastAsia" w:ascii="微软雅黑" w:hAnsi="微软雅黑" w:eastAsia="微软雅黑" w:cs="微软雅黑"/>
          <w:color w:val="auto"/>
          <w:sz w:val="24"/>
          <w:szCs w:val="24"/>
        </w:rPr>
        <w:t>四、资格条件及其他</w:t>
      </w:r>
      <w:bookmarkEnd w:id="151"/>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hint="eastAsia" w:ascii="微软雅黑" w:hAnsi="微软雅黑" w:eastAsia="微软雅黑" w:cs="微软雅黑"/>
          <w:color w:val="auto"/>
          <w:sz w:val="24"/>
          <w:szCs w:val="24"/>
        </w:rPr>
      </w:pPr>
      <w:bookmarkStart w:id="152" w:name="_Toc3260"/>
      <w:r>
        <w:rPr>
          <w:rFonts w:hint="eastAsia" w:ascii="微软雅黑" w:hAnsi="微软雅黑" w:eastAsia="微软雅黑" w:cs="微软雅黑"/>
          <w:color w:val="auto"/>
          <w:sz w:val="24"/>
          <w:szCs w:val="24"/>
        </w:rPr>
        <w:t>五、其他应提供的资料</w:t>
      </w:r>
      <w:bookmarkEnd w:id="15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9"/>
    <w:bookmarkEnd w:id="150"/>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3" w:name="_Toc480979018"/>
      <w:bookmarkStart w:id="154" w:name="_Toc313888360"/>
      <w:bookmarkStart w:id="155" w:name="_Toc342913419"/>
      <w:bookmarkStart w:id="156" w:name="_Toc485108796"/>
      <w:bookmarkStart w:id="157" w:name="_Toc313008356"/>
      <w:bookmarkStart w:id="158" w:name="_Toc12789073"/>
      <w:bookmarkStart w:id="159" w:name="_Toc283382454"/>
      <w:r>
        <w:rPr>
          <w:rFonts w:hint="eastAsia"/>
          <w:b/>
          <w:color w:val="auto"/>
        </w:rPr>
        <w:t>经济部分</w:t>
      </w:r>
      <w:bookmarkEnd w:id="153"/>
      <w:bookmarkEnd w:id="154"/>
      <w:bookmarkEnd w:id="155"/>
      <w:bookmarkEnd w:id="156"/>
      <w:bookmarkEnd w:id="157"/>
    </w:p>
    <w:p>
      <w:pPr>
        <w:pStyle w:val="180"/>
        <w:ind w:left="450" w:firstLine="0" w:firstLineChars="0"/>
        <w:rPr>
          <w:b/>
          <w:color w:val="auto"/>
        </w:rPr>
      </w:pPr>
    </w:p>
    <w:bookmarkEnd w:id="158"/>
    <w:bookmarkEnd w:id="159"/>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1、愿意按照比选文件中的一切要求，提供本项目的技术服务、商务需求，初始报价为人民币大写：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元整；人民币小写：</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宋体" w:eastAsia="方正仿宋_GBK" w:cs="Times New Roman"/>
          <w:color w:val="auto"/>
          <w:sz w:val="24"/>
          <w:szCs w:val="24"/>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jc w:val="center"/>
        <w:rPr>
          <w:rFonts w:ascii="方正仿宋_GBK" w:hAnsi="Times New Roman" w:eastAsia="方正仿宋_GBK" w:cs="Times New Roman"/>
          <w:b/>
          <w:color w:val="auto"/>
          <w:sz w:val="28"/>
          <w:szCs w:val="28"/>
        </w:rPr>
      </w:pPr>
    </w:p>
    <w:p>
      <w:pPr>
        <w:spacing w:line="360" w:lineRule="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tbl>
      <w:tblPr>
        <w:tblStyle w:val="5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1"/>
        <w:gridCol w:w="384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41" w:type="dxa"/>
            <w:noWrap w:val="0"/>
            <w:vAlign w:val="center"/>
          </w:tcPr>
          <w:p>
            <w:pPr>
              <w:spacing w:line="360" w:lineRule="auto"/>
              <w:jc w:val="center"/>
              <w:rPr>
                <w:rFonts w:ascii="宋体" w:hAnsi="宋体"/>
                <w:szCs w:val="24"/>
              </w:rPr>
            </w:pPr>
            <w:r>
              <w:rPr>
                <w:rFonts w:hint="eastAsia" w:ascii="宋体" w:hAnsi="宋体"/>
                <w:szCs w:val="24"/>
              </w:rPr>
              <w:t>项目名称</w:t>
            </w:r>
          </w:p>
        </w:tc>
        <w:tc>
          <w:tcPr>
            <w:tcW w:w="3843" w:type="dxa"/>
            <w:noWrap w:val="0"/>
            <w:vAlign w:val="center"/>
          </w:tcPr>
          <w:p>
            <w:pPr>
              <w:spacing w:line="360" w:lineRule="auto"/>
              <w:jc w:val="center"/>
              <w:rPr>
                <w:rFonts w:ascii="宋体" w:hAnsi="宋体"/>
                <w:szCs w:val="24"/>
              </w:rPr>
            </w:pPr>
            <w:r>
              <w:rPr>
                <w:rFonts w:hint="eastAsia" w:ascii="宋体" w:hAnsi="宋体"/>
                <w:szCs w:val="24"/>
              </w:rPr>
              <w:t>费用</w:t>
            </w:r>
          </w:p>
        </w:tc>
        <w:tc>
          <w:tcPr>
            <w:tcW w:w="1418" w:type="dxa"/>
            <w:noWrap w:val="0"/>
            <w:vAlign w:val="center"/>
          </w:tcPr>
          <w:p>
            <w:pPr>
              <w:spacing w:line="360" w:lineRule="auto"/>
              <w:jc w:val="cente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41" w:type="dxa"/>
            <w:noWrap w:val="0"/>
            <w:vAlign w:val="center"/>
          </w:tcPr>
          <w:p>
            <w:pPr>
              <w:spacing w:line="360" w:lineRule="auto"/>
              <w:jc w:val="center"/>
              <w:rPr>
                <w:rFonts w:hint="eastAsia" w:ascii="宋体" w:hAnsi="宋体"/>
                <w:szCs w:val="24"/>
              </w:rPr>
            </w:pPr>
            <w:r>
              <w:rPr>
                <w:rFonts w:hint="eastAsia" w:ascii="宋体" w:hAnsi="宋体"/>
                <w:szCs w:val="24"/>
              </w:rPr>
              <w:t xml:space="preserve"> </w:t>
            </w:r>
          </w:p>
        </w:tc>
        <w:tc>
          <w:tcPr>
            <w:tcW w:w="3843" w:type="dxa"/>
            <w:noWrap w:val="0"/>
            <w:vAlign w:val="center"/>
          </w:tcPr>
          <w:p>
            <w:pPr>
              <w:spacing w:line="360" w:lineRule="auto"/>
              <w:jc w:val="center"/>
              <w:rPr>
                <w:rFonts w:ascii="宋体" w:hAnsi="宋体"/>
                <w:szCs w:val="24"/>
              </w:rPr>
            </w:pPr>
          </w:p>
        </w:tc>
        <w:tc>
          <w:tcPr>
            <w:tcW w:w="1418" w:type="dxa"/>
            <w:noWrap w:val="0"/>
            <w:vAlign w:val="center"/>
          </w:tcPr>
          <w:p>
            <w:pPr>
              <w:spacing w:line="360" w:lineRule="auto"/>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41" w:type="dxa"/>
            <w:noWrap w:val="0"/>
            <w:vAlign w:val="center"/>
          </w:tcPr>
          <w:p>
            <w:pPr>
              <w:spacing w:line="360" w:lineRule="auto"/>
              <w:jc w:val="center"/>
              <w:rPr>
                <w:rFonts w:ascii="宋体" w:hAnsi="宋体"/>
                <w:szCs w:val="24"/>
              </w:rPr>
            </w:pPr>
            <w:r>
              <w:rPr>
                <w:rFonts w:hint="eastAsia" w:ascii="宋体" w:hAnsi="宋体"/>
                <w:szCs w:val="24"/>
              </w:rPr>
              <w:t>工期</w:t>
            </w:r>
          </w:p>
        </w:tc>
        <w:tc>
          <w:tcPr>
            <w:tcW w:w="5261" w:type="dxa"/>
            <w:gridSpan w:val="2"/>
            <w:noWrap w:val="0"/>
            <w:vAlign w:val="center"/>
          </w:tcPr>
          <w:p>
            <w:pPr>
              <w:spacing w:line="360" w:lineRule="auto"/>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41" w:type="dxa"/>
            <w:noWrap w:val="0"/>
            <w:vAlign w:val="center"/>
          </w:tcPr>
          <w:p>
            <w:pPr>
              <w:spacing w:line="360" w:lineRule="auto"/>
              <w:jc w:val="center"/>
              <w:rPr>
                <w:rFonts w:hint="eastAsia" w:ascii="宋体" w:hAnsi="宋体"/>
                <w:szCs w:val="24"/>
              </w:rPr>
            </w:pPr>
            <w:r>
              <w:rPr>
                <w:rFonts w:hint="eastAsia" w:ascii="宋体" w:hAnsi="宋体"/>
                <w:szCs w:val="24"/>
              </w:rPr>
              <w:t xml:space="preserve">总价 </w:t>
            </w:r>
          </w:p>
        </w:tc>
        <w:tc>
          <w:tcPr>
            <w:tcW w:w="5261" w:type="dxa"/>
            <w:gridSpan w:val="2"/>
            <w:noWrap w:val="0"/>
            <w:vAlign w:val="center"/>
          </w:tcPr>
          <w:p>
            <w:pPr>
              <w:spacing w:line="360" w:lineRule="auto"/>
              <w:jc w:val="center"/>
              <w:rPr>
                <w:rFonts w:ascii="宋体" w:hAnsi="宋体"/>
                <w:szCs w:val="24"/>
              </w:rPr>
            </w:pPr>
          </w:p>
        </w:tc>
      </w:tr>
    </w:tbl>
    <w:p>
      <w:pPr>
        <w:spacing w:line="360" w:lineRule="auto"/>
        <w:rPr>
          <w:rFonts w:hint="eastAsia" w:ascii="方正仿宋_GBK" w:hAnsi="宋体" w:eastAsia="方正仿宋_GBK" w:cs="Times New Roman"/>
          <w:color w:val="auto"/>
          <w:sz w:val="24"/>
          <w:szCs w:val="24"/>
        </w:rPr>
      </w:pPr>
    </w:p>
    <w:p>
      <w:pPr>
        <w:snapToGrid w:val="0"/>
        <w:spacing w:line="500" w:lineRule="exact"/>
        <w:rPr>
          <w:rFonts w:ascii="方正仿宋_GBK" w:hAnsi="宋体" w:eastAsia="方正仿宋_GBK" w:cs="Times New Roman"/>
          <w:color w:val="auto"/>
          <w:sz w:val="24"/>
          <w:szCs w:val="28"/>
        </w:rPr>
      </w:pPr>
    </w:p>
    <w:p>
      <w:pPr>
        <w:keepNext/>
        <w:keepLines/>
        <w:spacing w:before="260" w:after="260" w:line="413" w:lineRule="auto"/>
        <w:outlineLvl w:val="2"/>
        <w:rPr>
          <w:rFonts w:ascii="Times New Roman" w:hAnsi="Times New Roman" w:eastAsia="宋体" w:cs="Times New Roman"/>
          <w:b/>
          <w:color w:val="auto"/>
          <w:sz w:val="32"/>
          <w:szCs w:val="20"/>
        </w:rPr>
      </w:pPr>
    </w:p>
    <w:p>
      <w:p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注：1、请供应商完整填写本表。</w:t>
      </w:r>
    </w:p>
    <w:p>
      <w:pPr>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2、该表可扩展</w:t>
      </w:r>
      <w:bookmarkStart w:id="160" w:name="OLE_LINK1"/>
      <w:bookmarkStart w:id="161" w:name="OLE_LINK2"/>
      <w:r>
        <w:rPr>
          <w:rFonts w:hint="eastAsia" w:ascii="方正仿宋_GBK" w:hAnsi="宋体" w:eastAsia="方正仿宋_GBK" w:cs="Times New Roman"/>
          <w:color w:val="auto"/>
          <w:sz w:val="24"/>
          <w:szCs w:val="28"/>
        </w:rPr>
        <w:t>，并逐页签字或盖章。</w:t>
      </w:r>
      <w:bookmarkEnd w:id="160"/>
      <w:bookmarkEnd w:id="161"/>
    </w:p>
    <w:p>
      <w:pPr>
        <w:spacing w:line="360" w:lineRule="auto"/>
        <w:jc w:val="center"/>
        <w:rPr>
          <w:rFonts w:ascii="方正仿宋_GBK" w:hAnsi="宋体" w:eastAsia="方正仿宋_GBK" w:cs="Times New Roman"/>
          <w:color w:val="auto"/>
          <w:sz w:val="24"/>
          <w:szCs w:val="24"/>
        </w:rPr>
      </w:pPr>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2" w:name="_Toc313008357"/>
      <w:bookmarkStart w:id="163" w:name="_Toc480979019"/>
      <w:bookmarkStart w:id="164" w:name="_Toc485108797"/>
      <w:bookmarkStart w:id="165" w:name="_Toc342913420"/>
      <w:bookmarkStart w:id="166" w:name="_Toc313888361"/>
      <w:r>
        <w:rPr>
          <w:rFonts w:hint="eastAsia"/>
          <w:b/>
          <w:color w:val="auto"/>
        </w:rPr>
        <w:t>二、服务部分</w:t>
      </w:r>
      <w:bookmarkEnd w:id="162"/>
      <w:bookmarkEnd w:id="163"/>
      <w:bookmarkEnd w:id="164"/>
      <w:bookmarkEnd w:id="165"/>
      <w:bookmarkEnd w:id="166"/>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5.若“响应情况”栏中仅填写“无偏离”或“有偏离”等内容而未作实质性参数描述，该供应商将</w:t>
      </w:r>
      <w:r>
        <w:rPr>
          <w:rFonts w:hint="eastAsia" w:ascii="方正仿宋_GBK" w:hAnsi="宋体" w:eastAsia="方正仿宋_GBK" w:cs="Times New Roman"/>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7" w:name="_Toc313888362"/>
      <w:bookmarkStart w:id="168" w:name="_Toc313008358"/>
      <w:bookmarkStart w:id="169" w:name="_Toc480979020"/>
      <w:bookmarkStart w:id="170" w:name="_Toc342913421"/>
      <w:bookmarkStart w:id="171" w:name="_Toc485108798"/>
      <w:r>
        <w:rPr>
          <w:rFonts w:hint="eastAsia"/>
          <w:b/>
          <w:color w:val="auto"/>
        </w:rPr>
        <w:t>三、商务部分</w:t>
      </w:r>
      <w:bookmarkEnd w:id="167"/>
      <w:bookmarkEnd w:id="168"/>
      <w:bookmarkEnd w:id="169"/>
      <w:bookmarkEnd w:id="170"/>
      <w:bookmarkEnd w:id="171"/>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2"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2"/>
      <w:bookmarkStart w:id="173" w:name="_Toc342913422"/>
      <w:bookmarkStart w:id="174" w:name="_Toc313888363"/>
      <w:bookmarkStart w:id="175"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3"/>
      <w:bookmarkEnd w:id="174"/>
      <w:bookmarkEnd w:id="175"/>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6" w:name="OLE_LINK7"/>
      <w:bookmarkStart w:id="177"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6"/>
    <w:bookmarkEnd w:id="177"/>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jc w:val="both"/>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信用中国--行政处罚</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信用中国--失信惩戒</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信用中国--重大税收违法案件当事人名单查询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r>
        <w:rPr>
          <w:rFonts w:hint="eastAsia" w:ascii="方正仿宋_GBK" w:hAnsi="宋体" w:eastAsia="方正仿宋_GBK" w:cs="Times New Roman"/>
          <w:color w:val="auto"/>
          <w:sz w:val="28"/>
          <w:szCs w:val="28"/>
        </w:rPr>
        <w:t>中国政府采购网--政府采购严重违法失信行为信息记录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rFonts w:ascii="Times New Roman" w:hAnsi="Times New Roman" w:eastAsia="宋体" w:cs="Times New Roman"/>
          <w:color w:val="auto"/>
          <w:sz w:val="28"/>
          <w:szCs w:val="20"/>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Style w:val="2"/>
        <w:bidi w:val="0"/>
        <w:jc w:val="center"/>
        <w:rPr>
          <w:rFonts w:hint="eastAsia" w:ascii="微软雅黑" w:hAnsi="微软雅黑" w:eastAsia="微软雅黑" w:cs="微软雅黑"/>
          <w:color w:val="auto"/>
          <w:sz w:val="36"/>
          <w:szCs w:val="36"/>
          <w:lang w:val="en-US" w:eastAsia="zh-CN"/>
        </w:rPr>
      </w:pPr>
      <w:bookmarkStart w:id="178" w:name="_Toc20625"/>
      <w:bookmarkStart w:id="179" w:name="_Toc27256"/>
      <w:r>
        <w:rPr>
          <w:rFonts w:hint="eastAsia" w:ascii="微软雅黑" w:hAnsi="微软雅黑" w:eastAsia="微软雅黑" w:cs="微软雅黑"/>
          <w:color w:val="auto"/>
          <w:sz w:val="36"/>
          <w:szCs w:val="36"/>
          <w:lang w:val="en-US" w:eastAsia="zh-CN"/>
        </w:rPr>
        <w:t>重庆医科大学附属永川医院</w:t>
      </w:r>
    </w:p>
    <w:p>
      <w:pPr>
        <w:pStyle w:val="2"/>
        <w:bidi w:val="0"/>
        <w:jc w:val="center"/>
        <w:rPr>
          <w:rFonts w:hint="eastAsia" w:ascii="微软雅黑" w:hAnsi="微软雅黑" w:eastAsia="微软雅黑" w:cs="微软雅黑"/>
          <w:color w:val="auto"/>
          <w:sz w:val="36"/>
          <w:szCs w:val="36"/>
          <w:lang w:val="en-US" w:eastAsia="zh-CN"/>
        </w:rPr>
      </w:pPr>
      <w:r>
        <w:rPr>
          <w:rFonts w:hint="eastAsia" w:ascii="微软雅黑" w:hAnsi="微软雅黑" w:eastAsia="微软雅黑" w:cs="微软雅黑"/>
          <w:color w:val="auto"/>
          <w:sz w:val="36"/>
          <w:szCs w:val="36"/>
          <w:lang w:val="en-US" w:eastAsia="zh-CN"/>
        </w:rPr>
        <w:t>参加医院院内采购活动来院人员</w:t>
      </w:r>
    </w:p>
    <w:p>
      <w:pPr>
        <w:pStyle w:val="2"/>
        <w:bidi w:val="0"/>
        <w:jc w:val="center"/>
        <w:rPr>
          <w:rFonts w:hint="eastAsia" w:ascii="微软雅黑" w:hAnsi="微软雅黑" w:eastAsia="微软雅黑" w:cs="微软雅黑"/>
          <w:color w:val="auto"/>
          <w:sz w:val="36"/>
          <w:szCs w:val="36"/>
          <w:lang w:eastAsia="zh-CN"/>
        </w:rPr>
      </w:pPr>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178"/>
      <w:bookmarkEnd w:id="179"/>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tabs>
          <w:tab w:val="left" w:pos="6300"/>
        </w:tabs>
        <w:snapToGrid w:val="0"/>
        <w:spacing w:line="360" w:lineRule="auto"/>
        <w:rPr>
          <w:rFonts w:ascii="方正仿宋_GBK" w:hAnsi="宋体" w:eastAsia="方正仿宋_GBK" w:cs="Times New Roman"/>
          <w:color w:val="auto"/>
          <w:sz w:val="28"/>
          <w:szCs w:val="20"/>
        </w:rPr>
      </w:pPr>
    </w:p>
    <w:p>
      <w:pPr>
        <w:rPr>
          <w:color w:val="auto"/>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BE7323"/>
    <w:rsid w:val="056D15BB"/>
    <w:rsid w:val="07F26429"/>
    <w:rsid w:val="0823691D"/>
    <w:rsid w:val="089D28A9"/>
    <w:rsid w:val="0C551242"/>
    <w:rsid w:val="0CF52704"/>
    <w:rsid w:val="0E4D3D6E"/>
    <w:rsid w:val="0E5A796A"/>
    <w:rsid w:val="10C95780"/>
    <w:rsid w:val="10DC1574"/>
    <w:rsid w:val="134E0964"/>
    <w:rsid w:val="135E1FE3"/>
    <w:rsid w:val="16D52CED"/>
    <w:rsid w:val="1D4E55A7"/>
    <w:rsid w:val="1F1840BF"/>
    <w:rsid w:val="1F6D6E4A"/>
    <w:rsid w:val="20396A33"/>
    <w:rsid w:val="226F5814"/>
    <w:rsid w:val="24D33D5B"/>
    <w:rsid w:val="256755E1"/>
    <w:rsid w:val="25B7688A"/>
    <w:rsid w:val="2BAB75E6"/>
    <w:rsid w:val="2F2348BD"/>
    <w:rsid w:val="2F6F1AD9"/>
    <w:rsid w:val="30393E95"/>
    <w:rsid w:val="323D5EBE"/>
    <w:rsid w:val="3361798A"/>
    <w:rsid w:val="35E87A5C"/>
    <w:rsid w:val="35F27E47"/>
    <w:rsid w:val="369E4A52"/>
    <w:rsid w:val="3760520A"/>
    <w:rsid w:val="37B87D95"/>
    <w:rsid w:val="37E50667"/>
    <w:rsid w:val="3D202282"/>
    <w:rsid w:val="3D850719"/>
    <w:rsid w:val="42030507"/>
    <w:rsid w:val="432602A9"/>
    <w:rsid w:val="43FA3C0F"/>
    <w:rsid w:val="492C6FBB"/>
    <w:rsid w:val="4A1025A8"/>
    <w:rsid w:val="4C4E289A"/>
    <w:rsid w:val="4E6264D5"/>
    <w:rsid w:val="51D77CAA"/>
    <w:rsid w:val="52741030"/>
    <w:rsid w:val="55297C80"/>
    <w:rsid w:val="560E566E"/>
    <w:rsid w:val="567E306B"/>
    <w:rsid w:val="56FF2E93"/>
    <w:rsid w:val="5AE563AD"/>
    <w:rsid w:val="5B3E21DC"/>
    <w:rsid w:val="5BFA5886"/>
    <w:rsid w:val="5F110B14"/>
    <w:rsid w:val="5F5244A8"/>
    <w:rsid w:val="60E75B2D"/>
    <w:rsid w:val="616404C2"/>
    <w:rsid w:val="619C43F3"/>
    <w:rsid w:val="620C14D1"/>
    <w:rsid w:val="6269072D"/>
    <w:rsid w:val="6B28360F"/>
    <w:rsid w:val="6F960EFD"/>
    <w:rsid w:val="704243DE"/>
    <w:rsid w:val="71763E02"/>
    <w:rsid w:val="74CC0400"/>
    <w:rsid w:val="75937E8D"/>
    <w:rsid w:val="783A1618"/>
    <w:rsid w:val="7908485F"/>
    <w:rsid w:val="7B306E47"/>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14667</Words>
  <Characters>15015</Characters>
  <Lines>182</Lines>
  <Paragraphs>51</Paragraphs>
  <TotalTime>1</TotalTime>
  <ScaleCrop>false</ScaleCrop>
  <LinksUpToDate>false</LinksUpToDate>
  <CharactersWithSpaces>16077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2022-05-26T07:05:55Z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D90EFDEDCD294DEAB041A069E42458C9</vt:lpwstr>
  </property>
</Properties>
</file>