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sz w:val="28"/>
          <w:szCs w:val="20"/>
        </w:rPr>
      </w:pPr>
    </w:p>
    <w:p>
      <w:pPr>
        <w:rPr>
          <w:rFonts w:ascii="宋体" w:hAnsi="宋体" w:eastAsia="宋体" w:cs="Times New Roman"/>
          <w:sz w:val="28"/>
          <w:szCs w:val="20"/>
        </w:rPr>
      </w:pPr>
    </w:p>
    <w:p>
      <w:pPr>
        <w:rPr>
          <w:rFonts w:ascii="宋体" w:hAnsi="宋体" w:eastAsia="宋体" w:cs="Times New Roman"/>
          <w:sz w:val="28"/>
          <w:szCs w:val="20"/>
        </w:rPr>
      </w:pPr>
    </w:p>
    <w:p>
      <w:pPr>
        <w:jc w:val="center"/>
        <w:outlineLvl w:val="0"/>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重庆医科大学附属永川医院</w:t>
      </w:r>
    </w:p>
    <w:p>
      <w:pPr>
        <w:jc w:val="center"/>
        <w:outlineLvl w:val="0"/>
        <w:rPr>
          <w:rFonts w:ascii="方正小标宋简体" w:hAnsi="宋体" w:eastAsia="方正小标宋简体"/>
          <w:color w:val="000000"/>
          <w:sz w:val="44"/>
          <w:szCs w:val="44"/>
        </w:rPr>
      </w:pPr>
    </w:p>
    <w:p>
      <w:pPr>
        <w:jc w:val="center"/>
        <w:outlineLvl w:val="0"/>
        <w:rPr>
          <w:rFonts w:ascii="方正黑体_GBK" w:hAnsi="宋体" w:eastAsia="方正黑体_GBK" w:cs="Times New Roman"/>
          <w:spacing w:val="80"/>
          <w:sz w:val="44"/>
          <w:szCs w:val="44"/>
        </w:rPr>
      </w:pPr>
    </w:p>
    <w:p>
      <w:pPr>
        <w:jc w:val="center"/>
        <w:outlineLvl w:val="0"/>
        <w:rPr>
          <w:rFonts w:ascii="方正黑体_GBK" w:hAnsi="宋体" w:eastAsia="方正黑体_GBK" w:cs="Times New Roman"/>
          <w:spacing w:val="80"/>
          <w:sz w:val="44"/>
          <w:szCs w:val="44"/>
        </w:rPr>
      </w:pPr>
      <w:r>
        <w:rPr>
          <w:rFonts w:hint="eastAsia" w:ascii="方正黑体_GBK" w:hAnsi="宋体" w:eastAsia="方正黑体_GBK" w:cs="Times New Roman"/>
          <w:spacing w:val="80"/>
          <w:sz w:val="44"/>
          <w:szCs w:val="44"/>
        </w:rPr>
        <w:t>比选文件</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hint="default" w:ascii="方正小标宋_GBK" w:hAnsi="宋体" w:eastAsia="方正小标宋_GBK" w:cs="Times New Roman"/>
          <w:sz w:val="28"/>
          <w:szCs w:val="28"/>
          <w:lang w:val="en-US" w:eastAsia="zh-CN"/>
        </w:rPr>
      </w:pPr>
      <w:r>
        <w:rPr>
          <w:rFonts w:hint="eastAsia" w:ascii="方正小标宋_GBK" w:hAnsi="宋体" w:eastAsia="方正小标宋_GBK" w:cs="Times New Roman"/>
          <w:sz w:val="28"/>
          <w:szCs w:val="28"/>
        </w:rPr>
        <w:t>项目编号：2022FW</w:t>
      </w:r>
      <w:r>
        <w:rPr>
          <w:rFonts w:hint="eastAsia" w:ascii="方正小标宋_GBK" w:hAnsi="宋体" w:eastAsia="方正小标宋_GBK" w:cs="Times New Roman"/>
          <w:sz w:val="28"/>
          <w:szCs w:val="28"/>
          <w:lang w:val="en-US" w:eastAsia="zh-CN"/>
        </w:rPr>
        <w:t>014</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项目名称：临街门面招租  </w:t>
      </w:r>
    </w:p>
    <w:p>
      <w:pPr>
        <w:spacing w:line="700" w:lineRule="exact"/>
        <w:ind w:firstLine="840" w:firstLineChars="300"/>
        <w:rPr>
          <w:rFonts w:ascii="方正小标宋_GBK" w:hAnsi="宋体" w:eastAsia="方正小标宋_GBK" w:cs="Times New Roman"/>
          <w:sz w:val="28"/>
          <w:szCs w:val="28"/>
        </w:rPr>
      </w:pPr>
      <w:r>
        <w:rPr>
          <w:rFonts w:hint="eastAsia" w:ascii="方正小标宋_GBK" w:hAnsi="宋体" w:eastAsia="方正小标宋_GBK" w:cs="Times New Roman"/>
          <w:sz w:val="28"/>
          <w:szCs w:val="28"/>
        </w:rPr>
        <w:t xml:space="preserve">      </w:t>
      </w: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00" w:lineRule="exact"/>
        <w:ind w:firstLine="840" w:firstLineChars="300"/>
        <w:rPr>
          <w:rFonts w:ascii="方正小标宋_GBK" w:hAnsi="宋体" w:eastAsia="方正小标宋_GBK" w:cs="Times New Roman"/>
          <w:sz w:val="28"/>
          <w:szCs w:val="28"/>
        </w:rPr>
      </w:pPr>
    </w:p>
    <w:p>
      <w:pPr>
        <w:spacing w:line="760" w:lineRule="exact"/>
        <w:ind w:firstLine="1440" w:firstLineChars="400"/>
        <w:rPr>
          <w:rFonts w:ascii="宋体" w:hAnsi="宋体" w:eastAsia="宋体" w:cs="宋体"/>
          <w:color w:val="000000"/>
          <w:sz w:val="40"/>
          <w:szCs w:val="40"/>
        </w:rPr>
      </w:pPr>
      <w:r>
        <w:rPr>
          <w:rFonts w:hint="eastAsia" w:ascii="方正小标宋_GBK" w:eastAsia="方正小标宋_GBK"/>
          <w:sz w:val="36"/>
        </w:rPr>
        <w:t>采购人</w:t>
      </w:r>
      <w:r>
        <w:rPr>
          <w:rFonts w:hint="eastAsia" w:ascii="方正小标宋_GBK" w:hAnsi="宋体" w:eastAsia="方正小标宋_GBK" w:cs="Times New Roman"/>
          <w:sz w:val="28"/>
          <w:szCs w:val="28"/>
        </w:rPr>
        <w:t>：</w:t>
      </w:r>
      <w:r>
        <w:rPr>
          <w:rFonts w:hint="eastAsia" w:ascii="宋体" w:hAnsi="宋体" w:eastAsia="宋体" w:cs="宋体"/>
          <w:color w:val="000000"/>
          <w:sz w:val="36"/>
          <w:szCs w:val="36"/>
        </w:rPr>
        <w:t>重庆医科大学附属永川医院</w:t>
      </w:r>
    </w:p>
    <w:p>
      <w:pPr>
        <w:spacing w:line="420" w:lineRule="exact"/>
        <w:jc w:val="center"/>
        <w:outlineLvl w:val="0"/>
        <w:rPr>
          <w:rFonts w:ascii="仿宋" w:hAnsi="仿宋" w:eastAsia="仿宋" w:cs="仿宋"/>
          <w:sz w:val="30"/>
          <w:szCs w:val="30"/>
        </w:rPr>
      </w:pPr>
    </w:p>
    <w:p>
      <w:pPr>
        <w:spacing w:line="420" w:lineRule="exact"/>
        <w:jc w:val="center"/>
        <w:outlineLvl w:val="0"/>
        <w:rPr>
          <w:rFonts w:ascii="方正黑体_GBK" w:hAnsi="Times New Roman" w:eastAsia="方正黑体_GBK" w:cs="Times New Roman"/>
          <w:sz w:val="44"/>
          <w:szCs w:val="28"/>
        </w:rPr>
      </w:pPr>
      <w:r>
        <w:rPr>
          <w:rFonts w:hint="eastAsia" w:ascii="方正小标宋_GBK" w:hAnsi="宋体" w:eastAsia="方正小标宋_GBK" w:cs="Times New Roman"/>
          <w:sz w:val="28"/>
          <w:szCs w:val="28"/>
        </w:rPr>
        <w:t>二〇二二年</w:t>
      </w:r>
      <w:r>
        <w:rPr>
          <w:rFonts w:hint="eastAsia" w:ascii="方正小标宋_GBK" w:hAnsi="宋体" w:eastAsia="方正小标宋_GBK" w:cs="Times New Roman"/>
          <w:sz w:val="28"/>
          <w:szCs w:val="28"/>
          <w:lang w:eastAsia="zh-CN"/>
        </w:rPr>
        <w:t>五</w:t>
      </w:r>
      <w:r>
        <w:rPr>
          <w:rFonts w:hint="eastAsia" w:ascii="方正小标宋_GBK" w:hAnsi="宋体" w:eastAsia="方正小标宋_GBK" w:cs="Times New Roman"/>
          <w:sz w:val="28"/>
          <w:szCs w:val="28"/>
        </w:rPr>
        <w:t>月</w:t>
      </w: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20" w:lineRule="exact"/>
        <w:jc w:val="center"/>
        <w:outlineLvl w:val="0"/>
        <w:rPr>
          <w:rFonts w:ascii="方正黑体_GBK" w:hAnsi="Times New Roman" w:eastAsia="方正黑体_GBK" w:cs="Times New Roman"/>
          <w:sz w:val="44"/>
          <w:szCs w:val="28"/>
        </w:rPr>
      </w:pPr>
    </w:p>
    <w:p>
      <w:pPr>
        <w:spacing w:line="480" w:lineRule="exact"/>
        <w:jc w:val="center"/>
        <w:outlineLvl w:val="0"/>
        <w:rPr>
          <w:rFonts w:ascii="方正小标宋_GBK" w:hAnsi="Times New Roman" w:eastAsia="方正小标宋_GBK" w:cs="Times New Roman"/>
          <w:sz w:val="44"/>
          <w:szCs w:val="28"/>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pStyle w:val="37"/>
        <w:tabs>
          <w:tab w:val="right" w:leader="dot" w:pos="9412"/>
        </w:tabs>
      </w:pPr>
      <w:r>
        <w:rPr>
          <w:rFonts w:hint="eastAsia" w:ascii="方正小标宋_GBK" w:hAnsi="宋体" w:eastAsia="方正小标宋_GBK"/>
          <w:szCs w:val="21"/>
        </w:rPr>
        <w:fldChar w:fldCharType="begin"/>
      </w:r>
      <w:r>
        <w:rPr>
          <w:rFonts w:hint="eastAsia" w:ascii="方正小标宋_GBK" w:hAnsi="宋体" w:eastAsia="方正小标宋_GBK"/>
          <w:szCs w:val="21"/>
        </w:rPr>
        <w:instrText xml:space="preserve"> TOC \o "1-3" \h \z </w:instrText>
      </w:r>
      <w:r>
        <w:rPr>
          <w:rFonts w:hint="eastAsia" w:ascii="方正小标宋_GBK" w:hAnsi="宋体" w:eastAsia="方正小标宋_GBK"/>
          <w:szCs w:val="21"/>
        </w:rPr>
        <w:fldChar w:fldCharType="separate"/>
      </w:r>
      <w:r>
        <w:fldChar w:fldCharType="begin"/>
      </w:r>
      <w:r>
        <w:instrText xml:space="preserve"> HYPERLINK \l "_Toc10543" </w:instrText>
      </w:r>
      <w: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_Toc10543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"_Toc22677" </w:instrText>
      </w:r>
      <w:r>
        <w:fldChar w:fldCharType="separate"/>
      </w:r>
      <w:r>
        <w:rPr>
          <w:rFonts w:hint="eastAsia" w:ascii="微软雅黑" w:hAnsi="微软雅黑" w:eastAsia="微软雅黑" w:cs="微软雅黑"/>
          <w:szCs w:val="24"/>
        </w:rPr>
        <w:t>一、比选内容</w:t>
      </w:r>
      <w:r>
        <w:tab/>
      </w:r>
      <w:r>
        <w:fldChar w:fldCharType="begin"/>
      </w:r>
      <w:r>
        <w:instrText xml:space="preserve"> PAGEREF _Toc22677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"_Toc19013" </w:instrText>
      </w:r>
      <w:r>
        <w:fldChar w:fldCharType="separate"/>
      </w:r>
      <w:r>
        <w:rPr>
          <w:rFonts w:hint="eastAsia" w:ascii="微软雅黑" w:hAnsi="微软雅黑" w:eastAsia="微软雅黑" w:cs="微软雅黑"/>
          <w:szCs w:val="24"/>
        </w:rPr>
        <w:t>二、资金来源</w:t>
      </w:r>
      <w:r>
        <w:tab/>
      </w:r>
      <w:r>
        <w:fldChar w:fldCharType="begin"/>
      </w:r>
      <w:r>
        <w:instrText xml:space="preserve"> PAGEREF _Toc19013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"_Toc6721" </w:instrText>
      </w:r>
      <w:r>
        <w:fldChar w:fldCharType="separate"/>
      </w:r>
      <w:r>
        <w:rPr>
          <w:rFonts w:hint="eastAsia" w:ascii="微软雅黑" w:hAnsi="微软雅黑" w:eastAsia="微软雅黑" w:cs="微软雅黑"/>
          <w:szCs w:val="24"/>
        </w:rPr>
        <w:t>三、供应商资格要求</w:t>
      </w:r>
      <w:r>
        <w:tab/>
      </w:r>
      <w:r>
        <w:fldChar w:fldCharType="begin"/>
      </w:r>
      <w:r>
        <w:instrText xml:space="preserve"> PAGEREF _Toc6721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"_Toc3354" </w:instrText>
      </w:r>
      <w:r>
        <w:fldChar w:fldCharType="separate"/>
      </w:r>
      <w:r>
        <w:rPr>
          <w:rFonts w:hint="eastAsia" w:ascii="微软雅黑" w:hAnsi="微软雅黑" w:eastAsia="微软雅黑" w:cs="微软雅黑"/>
          <w:szCs w:val="24"/>
        </w:rPr>
        <w:t>四、比选有关说明</w:t>
      </w:r>
      <w:r>
        <w:tab/>
      </w:r>
      <w:r>
        <w:fldChar w:fldCharType="begin"/>
      </w:r>
      <w:r>
        <w:instrText xml:space="preserve"> PAGEREF _Toc3354 \h </w:instrText>
      </w:r>
      <w:r>
        <w:fldChar w:fldCharType="separate"/>
      </w:r>
      <w:r>
        <w:t>3</w:t>
      </w:r>
      <w:r>
        <w:fldChar w:fldCharType="end"/>
      </w:r>
      <w:r>
        <w:fldChar w:fldCharType="end"/>
      </w:r>
    </w:p>
    <w:p>
      <w:pPr>
        <w:pStyle w:val="45"/>
        <w:tabs>
          <w:tab w:val="right" w:leader="dot" w:pos="9412"/>
        </w:tabs>
      </w:pPr>
      <w:r>
        <w:fldChar w:fldCharType="begin"/>
      </w:r>
      <w:r>
        <w:instrText xml:space="preserve"> HYPERLINK \l "_Toc22104" </w:instrText>
      </w:r>
      <w: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_Toc22104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"_Toc30386" </w:instrText>
      </w:r>
      <w:r>
        <w:fldChar w:fldCharType="separate"/>
      </w:r>
      <w:r>
        <w:rPr>
          <w:rFonts w:hint="eastAsia" w:ascii="微软雅黑" w:hAnsi="微软雅黑" w:eastAsia="微软雅黑" w:cs="微软雅黑"/>
          <w:szCs w:val="24"/>
        </w:rPr>
        <w:t>六、其它有关规定</w:t>
      </w:r>
      <w:r>
        <w:tab/>
      </w:r>
      <w:r>
        <w:fldChar w:fldCharType="begin"/>
      </w:r>
      <w:r>
        <w:instrText xml:space="preserve"> PAGEREF _Toc30386 \h </w:instrText>
      </w:r>
      <w:r>
        <w:fldChar w:fldCharType="separate"/>
      </w:r>
      <w:r>
        <w:t>4</w:t>
      </w:r>
      <w:r>
        <w:fldChar w:fldCharType="end"/>
      </w:r>
      <w:r>
        <w:fldChar w:fldCharType="end"/>
      </w:r>
    </w:p>
    <w:p>
      <w:pPr>
        <w:pStyle w:val="45"/>
        <w:tabs>
          <w:tab w:val="right" w:leader="dot" w:pos="9412"/>
        </w:tabs>
      </w:pPr>
      <w:r>
        <w:fldChar w:fldCharType="begin"/>
      </w:r>
      <w:r>
        <w:instrText xml:space="preserve"> HYPERLINK \l "_Toc15642" </w:instrText>
      </w:r>
      <w:r>
        <w:fldChar w:fldCharType="separate"/>
      </w:r>
      <w:r>
        <w:rPr>
          <w:rFonts w:hint="eastAsia" w:ascii="微软雅黑" w:hAnsi="微软雅黑" w:eastAsia="微软雅黑" w:cs="微软雅黑"/>
          <w:szCs w:val="24"/>
        </w:rPr>
        <w:t>七、防疫要求</w:t>
      </w:r>
      <w:r>
        <w:tab/>
      </w:r>
      <w:r>
        <w:fldChar w:fldCharType="begin"/>
      </w:r>
      <w:r>
        <w:instrText xml:space="preserve"> PAGEREF _Toc15642 \h </w:instrText>
      </w:r>
      <w:r>
        <w:fldChar w:fldCharType="separate"/>
      </w:r>
      <w:r>
        <w:t>5</w:t>
      </w:r>
      <w:r>
        <w:fldChar w:fldCharType="end"/>
      </w:r>
      <w:r>
        <w:fldChar w:fldCharType="end"/>
      </w:r>
    </w:p>
    <w:p>
      <w:pPr>
        <w:pStyle w:val="45"/>
        <w:tabs>
          <w:tab w:val="right" w:leader="dot" w:pos="9412"/>
        </w:tabs>
      </w:pPr>
      <w:r>
        <w:fldChar w:fldCharType="begin"/>
      </w:r>
      <w:r>
        <w:instrText xml:space="preserve"> HYPERLINK \l "_Toc24686" </w:instrText>
      </w:r>
      <w:r>
        <w:fldChar w:fldCharType="separate"/>
      </w:r>
      <w:r>
        <w:rPr>
          <w:rFonts w:hint="eastAsia" w:ascii="微软雅黑" w:hAnsi="微软雅黑" w:eastAsia="微软雅黑" w:cs="微软雅黑"/>
          <w:szCs w:val="24"/>
        </w:rPr>
        <w:t>八、联系方式</w:t>
      </w:r>
      <w:r>
        <w:tab/>
      </w:r>
      <w:r>
        <w:fldChar w:fldCharType="begin"/>
      </w:r>
      <w:r>
        <w:instrText xml:space="preserve"> PAGEREF _Toc24686 \h </w:instrText>
      </w:r>
      <w:r>
        <w:fldChar w:fldCharType="separate"/>
      </w:r>
      <w:r>
        <w:t>5</w:t>
      </w:r>
      <w:r>
        <w:fldChar w:fldCharType="end"/>
      </w:r>
      <w:r>
        <w:fldChar w:fldCharType="end"/>
      </w:r>
    </w:p>
    <w:p>
      <w:pPr>
        <w:pStyle w:val="37"/>
        <w:tabs>
          <w:tab w:val="right" w:leader="dot" w:pos="9412"/>
        </w:tabs>
      </w:pPr>
      <w:r>
        <w:fldChar w:fldCharType="begin"/>
      </w:r>
      <w:r>
        <w:instrText xml:space="preserve"> HYPERLINK \l "_Toc3069" </w:instrText>
      </w:r>
      <w: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_Toc3069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"_Toc7457" </w:instrText>
      </w:r>
      <w:r>
        <w:fldChar w:fldCharType="separate"/>
      </w:r>
      <w:r>
        <w:rPr>
          <w:rFonts w:hint="eastAsia" w:ascii="微软雅黑" w:hAnsi="微软雅黑" w:eastAsia="微软雅黑" w:cs="微软雅黑"/>
          <w:szCs w:val="24"/>
        </w:rPr>
        <w:t>一、比选费用</w:t>
      </w:r>
      <w:r>
        <w:tab/>
      </w:r>
      <w:r>
        <w:fldChar w:fldCharType="begin"/>
      </w:r>
      <w:r>
        <w:instrText xml:space="preserve"> PAGEREF _Toc7457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"_Toc28914" </w:instrText>
      </w:r>
      <w:r>
        <w:fldChar w:fldCharType="separate"/>
      </w:r>
      <w:r>
        <w:rPr>
          <w:rFonts w:hint="eastAsia" w:ascii="微软雅黑" w:hAnsi="微软雅黑" w:eastAsia="微软雅黑" w:cs="微软雅黑"/>
          <w:szCs w:val="24"/>
        </w:rPr>
        <w:t>二、比选文件</w:t>
      </w:r>
      <w:r>
        <w:tab/>
      </w:r>
      <w:r>
        <w:fldChar w:fldCharType="begin"/>
      </w:r>
      <w:r>
        <w:instrText xml:space="preserve"> PAGEREF _Toc28914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"_Toc22453" </w:instrText>
      </w:r>
      <w:r>
        <w:fldChar w:fldCharType="separate"/>
      </w:r>
      <w:r>
        <w:rPr>
          <w:rFonts w:hint="eastAsia" w:ascii="微软雅黑" w:hAnsi="微软雅黑" w:eastAsia="微软雅黑" w:cs="微软雅黑"/>
          <w:szCs w:val="24"/>
        </w:rPr>
        <w:t>三、比选要求</w:t>
      </w:r>
      <w:r>
        <w:tab/>
      </w:r>
      <w:r>
        <w:fldChar w:fldCharType="begin"/>
      </w:r>
      <w:r>
        <w:instrText xml:space="preserve"> PAGEREF _Toc22453 \h </w:instrText>
      </w:r>
      <w:r>
        <w:fldChar w:fldCharType="separate"/>
      </w:r>
      <w:r>
        <w:t>6</w:t>
      </w:r>
      <w:r>
        <w:fldChar w:fldCharType="end"/>
      </w:r>
      <w:r>
        <w:fldChar w:fldCharType="end"/>
      </w:r>
    </w:p>
    <w:p>
      <w:pPr>
        <w:pStyle w:val="45"/>
        <w:tabs>
          <w:tab w:val="right" w:leader="dot" w:pos="9412"/>
        </w:tabs>
      </w:pPr>
      <w:r>
        <w:fldChar w:fldCharType="begin"/>
      </w:r>
      <w:r>
        <w:instrText xml:space="preserve"> HYPERLINK \l "_Toc21747" </w:instrText>
      </w:r>
      <w:r>
        <w:fldChar w:fldCharType="separate"/>
      </w:r>
      <w:r>
        <w:rPr>
          <w:rFonts w:hint="eastAsia" w:ascii="微软雅黑" w:hAnsi="微软雅黑" w:eastAsia="微软雅黑" w:cs="微软雅黑"/>
          <w:szCs w:val="24"/>
        </w:rPr>
        <w:t>四、比选程序</w:t>
      </w:r>
      <w:r>
        <w:tab/>
      </w:r>
      <w:r>
        <w:fldChar w:fldCharType="begin"/>
      </w:r>
      <w:r>
        <w:instrText xml:space="preserve"> PAGEREF _Toc21747 \h </w:instrText>
      </w:r>
      <w:r>
        <w:fldChar w:fldCharType="separate"/>
      </w:r>
      <w:r>
        <w:t>8</w:t>
      </w:r>
      <w:r>
        <w:fldChar w:fldCharType="end"/>
      </w:r>
      <w:r>
        <w:fldChar w:fldCharType="end"/>
      </w:r>
    </w:p>
    <w:p>
      <w:pPr>
        <w:pStyle w:val="45"/>
        <w:tabs>
          <w:tab w:val="right" w:leader="dot" w:pos="9412"/>
        </w:tabs>
      </w:pPr>
      <w:r>
        <w:fldChar w:fldCharType="begin"/>
      </w:r>
      <w:r>
        <w:instrText xml:space="preserve"> HYPERLINK \l "_Toc21" </w:instrText>
      </w:r>
      <w:r>
        <w:fldChar w:fldCharType="separate"/>
      </w:r>
      <w:r>
        <w:rPr>
          <w:rFonts w:hint="eastAsia" w:ascii="微软雅黑" w:hAnsi="微软雅黑" w:eastAsia="微软雅黑" w:cs="微软雅黑"/>
          <w:szCs w:val="24"/>
        </w:rPr>
        <w:t>五、评审依据</w:t>
      </w:r>
      <w:r>
        <w:tab/>
      </w:r>
      <w:r>
        <w:fldChar w:fldCharType="begin"/>
      </w:r>
      <w:r>
        <w:instrText xml:space="preserve"> PAGEREF _Toc21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"_Toc12240" </w:instrText>
      </w:r>
      <w:r>
        <w:fldChar w:fldCharType="separate"/>
      </w:r>
      <w:r>
        <w:rPr>
          <w:rFonts w:hint="eastAsia" w:ascii="微软雅黑" w:hAnsi="微软雅黑" w:eastAsia="微软雅黑" w:cs="微软雅黑"/>
          <w:szCs w:val="24"/>
        </w:rPr>
        <w:t>六、成交原则</w:t>
      </w:r>
      <w:r>
        <w:tab/>
      </w:r>
      <w:r>
        <w:fldChar w:fldCharType="begin"/>
      </w:r>
      <w:r>
        <w:instrText xml:space="preserve"> PAGEREF _Toc12240 \h </w:instrText>
      </w:r>
      <w:r>
        <w:fldChar w:fldCharType="separate"/>
      </w:r>
      <w:r>
        <w:t>10</w:t>
      </w:r>
      <w:r>
        <w:fldChar w:fldCharType="end"/>
      </w:r>
      <w:r>
        <w:fldChar w:fldCharType="end"/>
      </w:r>
    </w:p>
    <w:p>
      <w:pPr>
        <w:pStyle w:val="45"/>
        <w:tabs>
          <w:tab w:val="right" w:leader="dot" w:pos="9412"/>
        </w:tabs>
      </w:pPr>
      <w:r>
        <w:fldChar w:fldCharType="begin"/>
      </w:r>
      <w:r>
        <w:instrText xml:space="preserve"> HYPERLINK \l "_Toc45" </w:instrText>
      </w:r>
      <w:r>
        <w:fldChar w:fldCharType="separate"/>
      </w:r>
      <w:r>
        <w:rPr>
          <w:rFonts w:hint="eastAsia" w:ascii="微软雅黑" w:hAnsi="微软雅黑" w:eastAsia="微软雅黑" w:cs="微软雅黑"/>
          <w:szCs w:val="24"/>
        </w:rPr>
        <w:t>七、成交通知</w:t>
      </w:r>
      <w:r>
        <w:tab/>
      </w:r>
      <w:r>
        <w:fldChar w:fldCharType="begin"/>
      </w:r>
      <w:r>
        <w:instrText xml:space="preserve"> PAGEREF _Toc45 \h </w:instrText>
      </w:r>
      <w:r>
        <w:fldChar w:fldCharType="separate"/>
      </w:r>
      <w:r>
        <w:t>11</w:t>
      </w:r>
      <w:r>
        <w:fldChar w:fldCharType="end"/>
      </w:r>
      <w:r>
        <w:fldChar w:fldCharType="end"/>
      </w:r>
    </w:p>
    <w:p>
      <w:pPr>
        <w:pStyle w:val="45"/>
        <w:tabs>
          <w:tab w:val="right" w:leader="dot" w:pos="9412"/>
        </w:tabs>
      </w:pPr>
      <w:r>
        <w:fldChar w:fldCharType="begin"/>
      </w:r>
      <w:r>
        <w:instrText xml:space="preserve"> HYPERLINK \l "_Toc22422" </w:instrText>
      </w:r>
      <w:r>
        <w:fldChar w:fldCharType="separate"/>
      </w:r>
      <w:r>
        <w:rPr>
          <w:rFonts w:hint="eastAsia" w:ascii="微软雅黑" w:hAnsi="微软雅黑" w:eastAsia="微软雅黑" w:cs="微软雅黑"/>
          <w:szCs w:val="24"/>
        </w:rPr>
        <w:t>八、关于质疑和投诉</w:t>
      </w:r>
      <w:r>
        <w:tab/>
      </w:r>
      <w:r>
        <w:fldChar w:fldCharType="begin"/>
      </w:r>
      <w:r>
        <w:instrText xml:space="preserve"> PAGEREF _Toc22422 \h </w:instrText>
      </w:r>
      <w:r>
        <w:fldChar w:fldCharType="separate"/>
      </w:r>
      <w:r>
        <w:t>12</w:t>
      </w:r>
      <w:r>
        <w:fldChar w:fldCharType="end"/>
      </w:r>
      <w:r>
        <w:fldChar w:fldCharType="end"/>
      </w:r>
    </w:p>
    <w:p>
      <w:pPr>
        <w:pStyle w:val="45"/>
        <w:tabs>
          <w:tab w:val="right" w:leader="dot" w:pos="9412"/>
        </w:tabs>
      </w:pPr>
      <w:r>
        <w:fldChar w:fldCharType="begin"/>
      </w:r>
      <w:r>
        <w:instrText xml:space="preserve"> HYPERLINK \l "_Toc588" </w:instrText>
      </w:r>
      <w:r>
        <w:fldChar w:fldCharType="separate"/>
      </w:r>
      <w:r>
        <w:rPr>
          <w:rFonts w:hint="eastAsia" w:ascii="微软雅黑" w:hAnsi="微软雅黑" w:eastAsia="微软雅黑" w:cs="微软雅黑"/>
          <w:szCs w:val="24"/>
        </w:rPr>
        <w:t>九、签订合同</w:t>
      </w:r>
      <w:r>
        <w:tab/>
      </w:r>
      <w:r>
        <w:fldChar w:fldCharType="begin"/>
      </w:r>
      <w:r>
        <w:instrText xml:space="preserve"> PAGEREF _Toc588 \h </w:instrText>
      </w:r>
      <w:r>
        <w:fldChar w:fldCharType="separate"/>
      </w:r>
      <w:r>
        <w:t>13</w:t>
      </w:r>
      <w:r>
        <w:fldChar w:fldCharType="end"/>
      </w:r>
      <w:r>
        <w:fldChar w:fldCharType="end"/>
      </w:r>
    </w:p>
    <w:p>
      <w:pPr>
        <w:pStyle w:val="45"/>
        <w:tabs>
          <w:tab w:val="right" w:leader="dot" w:pos="9412"/>
        </w:tabs>
      </w:pPr>
      <w:r>
        <w:fldChar w:fldCharType="begin"/>
      </w:r>
      <w:r>
        <w:instrText xml:space="preserve"> HYPERLINK \l "_Toc4105" </w:instrText>
      </w:r>
      <w:r>
        <w:fldChar w:fldCharType="separate"/>
      </w:r>
      <w:r>
        <w:rPr>
          <w:rFonts w:hint="eastAsia" w:ascii="微软雅黑" w:hAnsi="微软雅黑" w:eastAsia="微软雅黑" w:cs="微软雅黑"/>
          <w:szCs w:val="24"/>
        </w:rPr>
        <w:t>十、其他</w:t>
      </w:r>
      <w:r>
        <w:tab/>
      </w:r>
      <w:r>
        <w:fldChar w:fldCharType="begin"/>
      </w:r>
      <w:r>
        <w:instrText xml:space="preserve"> PAGEREF _Toc4105 \h </w:instrText>
      </w:r>
      <w:r>
        <w:fldChar w:fldCharType="separate"/>
      </w:r>
      <w:r>
        <w:t>13</w:t>
      </w:r>
      <w:r>
        <w:fldChar w:fldCharType="end"/>
      </w:r>
      <w:r>
        <w:fldChar w:fldCharType="end"/>
      </w:r>
    </w:p>
    <w:p>
      <w:pPr>
        <w:pStyle w:val="37"/>
        <w:tabs>
          <w:tab w:val="right" w:leader="dot" w:pos="9412"/>
        </w:tabs>
      </w:pPr>
      <w:r>
        <w:fldChar w:fldCharType="begin"/>
      </w:r>
      <w:r>
        <w:instrText xml:space="preserve"> HYPERLINK \l "_Toc6951" </w:instrText>
      </w:r>
      <w:r>
        <w:fldChar w:fldCharType="separate"/>
      </w:r>
      <w:r>
        <w:rPr>
          <w:rFonts w:hint="eastAsia" w:ascii="微软雅黑" w:hAnsi="微软雅黑" w:eastAsia="微软雅黑" w:cs="微软雅黑"/>
          <w:bCs/>
          <w:szCs w:val="36"/>
        </w:rPr>
        <w:t>第三篇 项目服务需求</w:t>
      </w:r>
      <w:r>
        <w:tab/>
      </w:r>
      <w:r>
        <w:fldChar w:fldCharType="begin"/>
      </w:r>
      <w:r>
        <w:instrText xml:space="preserve"> PAGEREF _Toc6951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"_Toc769" </w:instrText>
      </w:r>
      <w:r>
        <w:fldChar w:fldCharType="separate"/>
      </w:r>
      <w:r>
        <w:rPr>
          <w:rFonts w:hint="eastAsia" w:ascii="微软雅黑" w:hAnsi="微软雅黑" w:eastAsia="微软雅黑" w:cs="微软雅黑"/>
          <w:szCs w:val="24"/>
        </w:rPr>
        <w:t>一、项目一览表</w:t>
      </w:r>
      <w:r>
        <w:tab/>
      </w:r>
      <w:r>
        <w:fldChar w:fldCharType="begin"/>
      </w:r>
      <w:r>
        <w:instrText xml:space="preserve"> PAGEREF _Toc769 \h </w:instrText>
      </w:r>
      <w:r>
        <w:fldChar w:fldCharType="separate"/>
      </w:r>
      <w:r>
        <w:t>14</w:t>
      </w:r>
      <w:r>
        <w:fldChar w:fldCharType="end"/>
      </w:r>
      <w:r>
        <w:fldChar w:fldCharType="end"/>
      </w:r>
    </w:p>
    <w:p>
      <w:pPr>
        <w:pStyle w:val="45"/>
        <w:tabs>
          <w:tab w:val="right" w:leader="dot" w:pos="9412"/>
        </w:tabs>
      </w:pPr>
      <w:r>
        <w:fldChar w:fldCharType="begin"/>
      </w:r>
      <w:r>
        <w:instrText xml:space="preserve"> HYPERLINK \l "_Toc32069" </w:instrText>
      </w:r>
      <w:r>
        <w:fldChar w:fldCharType="separate"/>
      </w:r>
      <w:r>
        <w:rPr>
          <w:rFonts w:hint="eastAsia" w:ascii="方正仿宋_GBK" w:hAnsi="宋体" w:eastAsia="方正仿宋_GBK"/>
          <w:bCs/>
          <w:szCs w:val="24"/>
        </w:rPr>
        <w:t>二、</w:t>
      </w:r>
      <w:r>
        <w:rPr>
          <w:rFonts w:hint="eastAsia" w:ascii="微软雅黑" w:hAnsi="微软雅黑" w:eastAsia="微软雅黑" w:cs="微软雅黑"/>
          <w:szCs w:val="24"/>
        </w:rPr>
        <w:t>承租方须知</w:t>
      </w:r>
      <w:r>
        <w:tab/>
      </w:r>
      <w:r>
        <w:fldChar w:fldCharType="begin"/>
      </w:r>
      <w:r>
        <w:instrText xml:space="preserve"> PAGEREF _Toc32069 \h </w:instrText>
      </w:r>
      <w:r>
        <w:fldChar w:fldCharType="separate"/>
      </w:r>
      <w:r>
        <w:t>14</w:t>
      </w:r>
      <w:r>
        <w:fldChar w:fldCharType="end"/>
      </w:r>
      <w:r>
        <w:fldChar w:fldCharType="end"/>
      </w:r>
    </w:p>
    <w:p>
      <w:pPr>
        <w:pStyle w:val="37"/>
        <w:tabs>
          <w:tab w:val="right" w:leader="dot" w:pos="9412"/>
        </w:tabs>
      </w:pPr>
      <w:r>
        <w:fldChar w:fldCharType="begin"/>
      </w:r>
      <w:r>
        <w:instrText xml:space="preserve"> HYPERLINK \l "_Toc20659" </w:instrText>
      </w:r>
      <w: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_Toc20659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"_Toc18605" </w:instrText>
      </w:r>
      <w:r>
        <w:fldChar w:fldCharType="separate"/>
      </w:r>
      <w:r>
        <w:rPr>
          <w:rFonts w:hint="eastAsia" w:ascii="微软雅黑" w:hAnsi="微软雅黑" w:eastAsia="微软雅黑" w:cs="微软雅黑"/>
          <w:szCs w:val="24"/>
        </w:rPr>
        <w:t>一、租赁期限、地点及验收方式</w:t>
      </w:r>
      <w:r>
        <w:tab/>
      </w:r>
      <w:r>
        <w:fldChar w:fldCharType="begin"/>
      </w:r>
      <w:r>
        <w:instrText xml:space="preserve"> PAGEREF _Toc18605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"_Toc7971" </w:instrText>
      </w:r>
      <w:r>
        <w:fldChar w:fldCharType="separate"/>
      </w:r>
      <w:r>
        <w:rPr>
          <w:rFonts w:hint="eastAsia" w:ascii="微软雅黑" w:hAnsi="微软雅黑" w:eastAsia="微软雅黑" w:cs="微软雅黑"/>
          <w:szCs w:val="24"/>
        </w:rPr>
        <w:t>二、质量保证及售后服务</w:t>
      </w:r>
      <w:r>
        <w:tab/>
      </w:r>
      <w:r>
        <w:fldChar w:fldCharType="begin"/>
      </w:r>
      <w:r>
        <w:instrText xml:space="preserve"> PAGEREF _Toc7971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"_Toc24832" </w:instrText>
      </w:r>
      <w:r>
        <w:fldChar w:fldCharType="separate"/>
      </w:r>
      <w:r>
        <w:rPr>
          <w:rFonts w:hint="eastAsia" w:ascii="微软雅黑" w:hAnsi="微软雅黑" w:eastAsia="微软雅黑" w:cs="微软雅黑"/>
          <w:szCs w:val="24"/>
        </w:rPr>
        <w:t>三、付款方式</w:t>
      </w:r>
      <w:r>
        <w:tab/>
      </w:r>
      <w:r>
        <w:fldChar w:fldCharType="begin"/>
      </w:r>
      <w:r>
        <w:instrText xml:space="preserve"> PAGEREF _Toc24832 \h </w:instrText>
      </w:r>
      <w:r>
        <w:fldChar w:fldCharType="separate"/>
      </w:r>
      <w:r>
        <w:t>15</w:t>
      </w:r>
      <w:r>
        <w:fldChar w:fldCharType="end"/>
      </w:r>
      <w:r>
        <w:fldChar w:fldCharType="end"/>
      </w:r>
    </w:p>
    <w:p>
      <w:pPr>
        <w:pStyle w:val="45"/>
        <w:tabs>
          <w:tab w:val="right" w:leader="dot" w:pos="9412"/>
        </w:tabs>
      </w:pPr>
      <w:r>
        <w:fldChar w:fldCharType="begin"/>
      </w:r>
      <w:r>
        <w:instrText xml:space="preserve"> HYPERLINK \l "_Toc2651" </w:instrText>
      </w:r>
      <w:r>
        <w:fldChar w:fldCharType="separate"/>
      </w:r>
      <w:r>
        <w:rPr>
          <w:rFonts w:hint="eastAsia" w:ascii="微软雅黑" w:hAnsi="微软雅黑" w:eastAsia="微软雅黑" w:cs="微软雅黑"/>
          <w:szCs w:val="24"/>
        </w:rPr>
        <w:t>四、违约责任</w:t>
      </w:r>
      <w:r>
        <w:tab/>
      </w:r>
      <w:r>
        <w:fldChar w:fldCharType="begin"/>
      </w:r>
      <w:r>
        <w:instrText xml:space="preserve"> PAGEREF _Toc2651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"_Toc17767" </w:instrText>
      </w:r>
      <w:r>
        <w:fldChar w:fldCharType="separate"/>
      </w:r>
      <w:r>
        <w:rPr>
          <w:rFonts w:hint="eastAsia" w:ascii="微软雅黑" w:hAnsi="微软雅黑" w:eastAsia="微软雅黑" w:cs="微软雅黑"/>
          <w:szCs w:val="16"/>
        </w:rPr>
        <w:t>五、合同终止</w:t>
      </w:r>
      <w:r>
        <w:tab/>
      </w:r>
      <w:r>
        <w:fldChar w:fldCharType="begin"/>
      </w:r>
      <w:r>
        <w:instrText xml:space="preserve"> PAGEREF _Toc17767 \h </w:instrText>
      </w:r>
      <w:r>
        <w:fldChar w:fldCharType="separate"/>
      </w:r>
      <w:r>
        <w:t>16</w:t>
      </w:r>
      <w:r>
        <w:fldChar w:fldCharType="end"/>
      </w:r>
      <w:r>
        <w:fldChar w:fldCharType="end"/>
      </w:r>
    </w:p>
    <w:p>
      <w:pPr>
        <w:pStyle w:val="45"/>
        <w:tabs>
          <w:tab w:val="right" w:leader="dot" w:pos="9412"/>
        </w:tabs>
      </w:pPr>
      <w:r>
        <w:fldChar w:fldCharType="begin"/>
      </w:r>
      <w:r>
        <w:instrText xml:space="preserve"> HYPERLINK \l "_Toc8982" </w:instrText>
      </w:r>
      <w:r>
        <w:fldChar w:fldCharType="separate"/>
      </w:r>
      <w:r>
        <w:rPr>
          <w:rFonts w:hint="eastAsia" w:ascii="微软雅黑" w:hAnsi="微软雅黑" w:eastAsia="微软雅黑" w:cs="微软雅黑"/>
          <w:szCs w:val="24"/>
        </w:rPr>
        <w:t>六、其他</w:t>
      </w:r>
      <w:r>
        <w:tab/>
      </w:r>
      <w:r>
        <w:fldChar w:fldCharType="begin"/>
      </w:r>
      <w:r>
        <w:instrText xml:space="preserve"> PAGEREF _Toc8982 \h </w:instrText>
      </w:r>
      <w:r>
        <w:fldChar w:fldCharType="separate"/>
      </w:r>
      <w:r>
        <w:t>16</w:t>
      </w:r>
      <w:r>
        <w:fldChar w:fldCharType="end"/>
      </w:r>
      <w:r>
        <w:fldChar w:fldCharType="end"/>
      </w:r>
    </w:p>
    <w:p>
      <w:pPr>
        <w:pStyle w:val="37"/>
        <w:tabs>
          <w:tab w:val="right" w:leader="dot" w:pos="9412"/>
        </w:tabs>
      </w:pPr>
      <w:r>
        <w:fldChar w:fldCharType="begin"/>
      </w:r>
      <w:r>
        <w:instrText xml:space="preserve"> HYPERLINK \l "_Toc261" </w:instrText>
      </w:r>
      <w: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_Toc261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"_Toc22523" </w:instrText>
      </w:r>
      <w:r>
        <w:fldChar w:fldCharType="separate"/>
      </w:r>
      <w:r>
        <w:rPr>
          <w:rFonts w:hint="eastAsia" w:ascii="微软雅黑" w:hAnsi="微软雅黑" w:eastAsia="微软雅黑" w:cs="微软雅黑"/>
          <w:szCs w:val="24"/>
        </w:rPr>
        <w:t>一、定义</w:t>
      </w:r>
      <w:r>
        <w:tab/>
      </w:r>
      <w:r>
        <w:fldChar w:fldCharType="begin"/>
      </w:r>
      <w:r>
        <w:instrText xml:space="preserve"> PAGEREF _Toc22523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"_Toc16320" </w:instrText>
      </w:r>
      <w:r>
        <w:fldChar w:fldCharType="separate"/>
      </w:r>
      <w:r>
        <w:rPr>
          <w:rFonts w:hint="eastAsia" w:ascii="微软雅黑" w:hAnsi="微软雅黑" w:eastAsia="微软雅黑" w:cs="微软雅黑"/>
          <w:szCs w:val="24"/>
        </w:rPr>
        <w:t>二、服务内容</w:t>
      </w:r>
      <w:r>
        <w:tab/>
      </w:r>
      <w:r>
        <w:fldChar w:fldCharType="begin"/>
      </w:r>
      <w:r>
        <w:instrText xml:space="preserve"> PAGEREF _Toc16320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"_Toc17835" </w:instrText>
      </w:r>
      <w:r>
        <w:fldChar w:fldCharType="separate"/>
      </w:r>
      <w:r>
        <w:rPr>
          <w:rFonts w:hint="eastAsia" w:ascii="微软雅黑" w:hAnsi="微软雅黑" w:eastAsia="微软雅黑" w:cs="微软雅黑"/>
          <w:szCs w:val="24"/>
        </w:rPr>
        <w:t>三、合同价格</w:t>
      </w:r>
      <w:r>
        <w:tab/>
      </w:r>
      <w:r>
        <w:fldChar w:fldCharType="begin"/>
      </w:r>
      <w:r>
        <w:instrText xml:space="preserve"> PAGEREF _Toc17835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"_Toc12967" </w:instrText>
      </w:r>
      <w:r>
        <w:fldChar w:fldCharType="separate"/>
      </w:r>
      <w:r>
        <w:rPr>
          <w:rFonts w:hint="eastAsia" w:ascii="微软雅黑" w:hAnsi="微软雅黑" w:eastAsia="微软雅黑" w:cs="微软雅黑"/>
          <w:szCs w:val="24"/>
        </w:rPr>
        <w:t>四、转包或分包</w:t>
      </w:r>
      <w:r>
        <w:tab/>
      </w:r>
      <w:r>
        <w:fldChar w:fldCharType="begin"/>
      </w:r>
      <w:r>
        <w:instrText xml:space="preserve"> PAGEREF _Toc12967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"_Toc3110" </w:instrText>
      </w:r>
      <w: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_Toc3110 \h </w:instrText>
      </w:r>
      <w:r>
        <w:fldChar w:fldCharType="separate"/>
      </w:r>
      <w:r>
        <w:t>17</w:t>
      </w:r>
      <w:r>
        <w:fldChar w:fldCharType="end"/>
      </w:r>
      <w:r>
        <w:fldChar w:fldCharType="end"/>
      </w:r>
    </w:p>
    <w:p>
      <w:pPr>
        <w:pStyle w:val="45"/>
        <w:tabs>
          <w:tab w:val="right" w:leader="dot" w:pos="9412"/>
        </w:tabs>
      </w:pPr>
      <w:r>
        <w:fldChar w:fldCharType="begin"/>
      </w:r>
      <w:r>
        <w:instrText xml:space="preserve"> HYPERLINK \l "_Toc2116" </w:instrText>
      </w:r>
      <w:r>
        <w:fldChar w:fldCharType="separate"/>
      </w:r>
      <w:r>
        <w:rPr>
          <w:rFonts w:hint="eastAsia" w:ascii="微软雅黑" w:hAnsi="微软雅黑" w:eastAsia="微软雅黑" w:cs="微软雅黑"/>
          <w:szCs w:val="24"/>
        </w:rPr>
        <w:t>六、付款</w:t>
      </w:r>
      <w:r>
        <w:tab/>
      </w:r>
      <w:r>
        <w:fldChar w:fldCharType="begin"/>
      </w:r>
      <w:r>
        <w:instrText xml:space="preserve"> PAGEREF _Toc2116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"_Toc31818" </w:instrText>
      </w:r>
      <w:r>
        <w:fldChar w:fldCharType="separate"/>
      </w:r>
      <w:r>
        <w:rPr>
          <w:rFonts w:hint="eastAsia" w:ascii="微软雅黑" w:hAnsi="微软雅黑" w:eastAsia="微软雅黑" w:cs="微软雅黑"/>
          <w:szCs w:val="24"/>
        </w:rPr>
        <w:t>七、知识产权</w:t>
      </w:r>
      <w:r>
        <w:tab/>
      </w:r>
      <w:r>
        <w:fldChar w:fldCharType="begin"/>
      </w:r>
      <w:r>
        <w:instrText xml:space="preserve"> PAGEREF _Toc31818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"_Toc8330" </w:instrText>
      </w:r>
      <w:r>
        <w:fldChar w:fldCharType="separate"/>
      </w:r>
      <w:r>
        <w:rPr>
          <w:rFonts w:hint="eastAsia" w:ascii="微软雅黑" w:hAnsi="微软雅黑" w:eastAsia="微软雅黑" w:cs="微软雅黑"/>
          <w:szCs w:val="24"/>
        </w:rPr>
        <w:t>八、合同争议的解决</w:t>
      </w:r>
      <w:r>
        <w:tab/>
      </w:r>
      <w:r>
        <w:fldChar w:fldCharType="begin"/>
      </w:r>
      <w:r>
        <w:instrText xml:space="preserve"> PAGEREF _Toc8330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"_Toc18054" </w:instrText>
      </w:r>
      <w:r>
        <w:fldChar w:fldCharType="separate"/>
      </w:r>
      <w:r>
        <w:rPr>
          <w:rFonts w:hint="eastAsia" w:ascii="微软雅黑" w:hAnsi="微软雅黑" w:eastAsia="微软雅黑" w:cs="微软雅黑"/>
          <w:szCs w:val="24"/>
        </w:rPr>
        <w:t>九、违约责任</w:t>
      </w:r>
      <w:r>
        <w:tab/>
      </w:r>
      <w:r>
        <w:fldChar w:fldCharType="begin"/>
      </w:r>
      <w:r>
        <w:instrText xml:space="preserve"> PAGEREF _Toc18054 \h </w:instrText>
      </w:r>
      <w:r>
        <w:fldChar w:fldCharType="separate"/>
      </w:r>
      <w:r>
        <w:t>18</w:t>
      </w:r>
      <w:r>
        <w:fldChar w:fldCharType="end"/>
      </w:r>
      <w:r>
        <w:fldChar w:fldCharType="end"/>
      </w:r>
    </w:p>
    <w:p>
      <w:pPr>
        <w:pStyle w:val="45"/>
        <w:tabs>
          <w:tab w:val="right" w:leader="dot" w:pos="9412"/>
        </w:tabs>
      </w:pPr>
      <w:r>
        <w:fldChar w:fldCharType="begin"/>
      </w:r>
      <w:r>
        <w:instrText xml:space="preserve"> HYPERLINK \l "_Toc8524" </w:instrText>
      </w:r>
      <w:r>
        <w:fldChar w:fldCharType="separate"/>
      </w:r>
      <w:r>
        <w:rPr>
          <w:rFonts w:hint="eastAsia" w:ascii="微软雅黑" w:hAnsi="微软雅黑" w:eastAsia="微软雅黑" w:cs="微软雅黑"/>
          <w:szCs w:val="24"/>
        </w:rPr>
        <w:t>十、合同生效及其它</w:t>
      </w:r>
      <w:r>
        <w:tab/>
      </w:r>
      <w:r>
        <w:fldChar w:fldCharType="begin"/>
      </w:r>
      <w:r>
        <w:instrText xml:space="preserve"> PAGEREF _Toc8524 \h </w:instrText>
      </w:r>
      <w:r>
        <w:fldChar w:fldCharType="separate"/>
      </w:r>
      <w:r>
        <w:t>18</w:t>
      </w:r>
      <w:r>
        <w:fldChar w:fldCharType="end"/>
      </w:r>
      <w:r>
        <w:fldChar w:fldCharType="end"/>
      </w:r>
    </w:p>
    <w:p>
      <w:pPr>
        <w:pStyle w:val="37"/>
        <w:tabs>
          <w:tab w:val="right" w:leader="dot" w:pos="9412"/>
        </w:tabs>
      </w:pPr>
      <w:r>
        <w:fldChar w:fldCharType="begin"/>
      </w:r>
      <w:r>
        <w:instrText xml:space="preserve"> HYPERLINK \l "_Toc23545" </w:instrText>
      </w:r>
      <w: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_Toc23545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"_Toc30563" </w:instrText>
      </w:r>
      <w:r>
        <w:fldChar w:fldCharType="separate"/>
      </w:r>
      <w:r>
        <w:rPr>
          <w:rFonts w:hint="eastAsia" w:ascii="微软雅黑" w:hAnsi="微软雅黑" w:eastAsia="微软雅黑" w:cs="微软雅黑"/>
          <w:szCs w:val="24"/>
        </w:rPr>
        <w:t>一、经济部分</w:t>
      </w:r>
      <w:r>
        <w:tab/>
      </w:r>
      <w:r>
        <w:fldChar w:fldCharType="begin"/>
      </w:r>
      <w:r>
        <w:instrText xml:space="preserve"> PAGEREF _Toc30563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"_Toc32136" </w:instrText>
      </w:r>
      <w:r>
        <w:fldChar w:fldCharType="separate"/>
      </w:r>
      <w:r>
        <w:rPr>
          <w:rFonts w:hint="eastAsia" w:ascii="微软雅黑" w:hAnsi="微软雅黑" w:eastAsia="微软雅黑" w:cs="微软雅黑"/>
          <w:szCs w:val="24"/>
        </w:rPr>
        <w:t>二、服务部分</w:t>
      </w:r>
      <w:r>
        <w:tab/>
      </w:r>
      <w:r>
        <w:fldChar w:fldCharType="begin"/>
      </w:r>
      <w:r>
        <w:instrText xml:space="preserve"> PAGEREF _Toc32136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"_Toc29150" </w:instrText>
      </w:r>
      <w:r>
        <w:fldChar w:fldCharType="separate"/>
      </w:r>
      <w:r>
        <w:rPr>
          <w:rFonts w:hint="eastAsia" w:ascii="微软雅黑" w:hAnsi="微软雅黑" w:eastAsia="微软雅黑" w:cs="微软雅黑"/>
          <w:szCs w:val="24"/>
        </w:rPr>
        <w:t>三、商务部分</w:t>
      </w:r>
      <w:r>
        <w:tab/>
      </w:r>
      <w:r>
        <w:fldChar w:fldCharType="begin"/>
      </w:r>
      <w:r>
        <w:instrText xml:space="preserve"> PAGEREF _Toc29150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"_Toc4282" </w:instrText>
      </w:r>
      <w:r>
        <w:fldChar w:fldCharType="separate"/>
      </w:r>
      <w:r>
        <w:rPr>
          <w:rFonts w:hint="eastAsia" w:ascii="微软雅黑" w:hAnsi="微软雅黑" w:eastAsia="微软雅黑" w:cs="微软雅黑"/>
          <w:szCs w:val="24"/>
        </w:rPr>
        <w:t>四、资格条件及其他</w:t>
      </w:r>
      <w:r>
        <w:tab/>
      </w:r>
      <w:r>
        <w:fldChar w:fldCharType="begin"/>
      </w:r>
      <w:r>
        <w:instrText xml:space="preserve"> PAGEREF _Toc4282 \h </w:instrText>
      </w:r>
      <w:r>
        <w:fldChar w:fldCharType="separate"/>
      </w:r>
      <w:r>
        <w:t>19</w:t>
      </w:r>
      <w:r>
        <w:fldChar w:fldCharType="end"/>
      </w:r>
      <w:r>
        <w:fldChar w:fldCharType="end"/>
      </w:r>
    </w:p>
    <w:p>
      <w:pPr>
        <w:pStyle w:val="45"/>
        <w:tabs>
          <w:tab w:val="right" w:leader="dot" w:pos="9412"/>
        </w:tabs>
      </w:pPr>
      <w:r>
        <w:fldChar w:fldCharType="begin"/>
      </w:r>
      <w:r>
        <w:instrText xml:space="preserve"> HYPERLINK \l "_Toc20479" </w:instrText>
      </w:r>
      <w: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_Toc20479 \h </w:instrText>
      </w:r>
      <w:r>
        <w:fldChar w:fldCharType="separate"/>
      </w:r>
      <w:r>
        <w:t>20</w:t>
      </w:r>
      <w:r>
        <w:fldChar w:fldCharType="end"/>
      </w:r>
      <w:r>
        <w:fldChar w:fldCharType="end"/>
      </w:r>
    </w:p>
    <w:p>
      <w:pPr>
        <w:pStyle w:val="37"/>
        <w:tabs>
          <w:tab w:val="right" w:leader="dot" w:pos="9412"/>
        </w:tabs>
      </w:pPr>
      <w:r>
        <w:fldChar w:fldCharType="begin"/>
      </w:r>
      <w:r>
        <w:instrText xml:space="preserve"> HYPERLINK \l "_Toc20566" </w:instrText>
      </w:r>
      <w:r>
        <w:fldChar w:fldCharType="separate"/>
      </w:r>
      <w:r>
        <w:rPr>
          <w:rFonts w:hint="eastAsia" w:ascii="微软雅黑" w:hAnsi="微软雅黑" w:eastAsia="微软雅黑" w:cs="微软雅黑"/>
          <w:szCs w:val="36"/>
        </w:rPr>
        <w:t>重庆医科大学附属永川医院参加医院院内采购活动来院人员新冠肺炎疫情防控工作告知书</w:t>
      </w:r>
      <w:r>
        <w:tab/>
      </w:r>
      <w:r>
        <w:fldChar w:fldCharType="begin"/>
      </w:r>
      <w:r>
        <w:instrText xml:space="preserve"> PAGEREF _Toc20566 \h </w:instrText>
      </w:r>
      <w:r>
        <w:fldChar w:fldCharType="separate"/>
      </w:r>
      <w:r>
        <w:t>39</w:t>
      </w:r>
      <w:r>
        <w:fldChar w:fldCharType="end"/>
      </w:r>
      <w:r>
        <w:fldChar w:fldCharType="end"/>
      </w:r>
    </w:p>
    <w:p>
      <w:pPr>
        <w:tabs>
          <w:tab w:val="right" w:leader="dot" w:pos="9402"/>
        </w:tabs>
        <w:spacing w:line="480" w:lineRule="exact"/>
        <w:ind w:left="420" w:leftChars="200"/>
        <w:rPr>
          <w:rFonts w:ascii="方正仿宋_GBK" w:hAnsi="Calibri" w:eastAsia="方正仿宋_GBK" w:cs="Times New Roman"/>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szCs w:val="21"/>
        </w:rPr>
        <w:fldChar w:fldCharType="end"/>
      </w:r>
    </w:p>
    <w:p>
      <w:pPr>
        <w:pStyle w:val="2"/>
        <w:jc w:val="center"/>
        <w:rPr>
          <w:rFonts w:ascii="微软雅黑" w:hAnsi="微软雅黑" w:eastAsia="微软雅黑" w:cs="微软雅黑"/>
          <w:b/>
        </w:rPr>
      </w:pPr>
      <w:bookmarkStart w:id="0" w:name="_Toc12789052"/>
      <w:bookmarkStart w:id="1" w:name="_Toc485108766"/>
      <w:bookmarkStart w:id="2" w:name="_Toc10543"/>
      <w:bookmarkStart w:id="3" w:name="_Toc11641050"/>
      <w:bookmarkStart w:id="187" w:name="_GoBack"/>
      <w:r>
        <w:rPr>
          <w:rFonts w:hint="eastAsia" w:ascii="微软雅黑" w:hAnsi="微软雅黑" w:eastAsia="微软雅黑" w:cs="微软雅黑"/>
          <w:b/>
          <w:bCs/>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sz w:val="28"/>
          <w:szCs w:val="20"/>
        </w:rPr>
      </w:pPr>
      <w:bookmarkStart w:id="4" w:name="_Toc317775178"/>
      <w:bookmarkStart w:id="5" w:name="_Toc373860293"/>
      <w:r>
        <w:rPr>
          <w:rFonts w:hint="eastAsia" w:ascii="方正仿宋_GBK" w:hAnsi="宋体" w:eastAsia="方正仿宋_GBK" w:cs="Times New Roman"/>
          <w:sz w:val="24"/>
          <w:szCs w:val="24"/>
        </w:rPr>
        <w:t>重庆医科大学附属永川医院（简称“重医附属永川医院”）对临街门面招租项目进行院内比选采购。欢迎有资格、有实力的潜在供应商参加。</w:t>
      </w:r>
    </w:p>
    <w:p>
      <w:pPr>
        <w:pStyle w:val="3"/>
        <w:spacing w:line="240" w:lineRule="auto"/>
        <w:rPr>
          <w:rFonts w:ascii="微软雅黑" w:hAnsi="微软雅黑" w:eastAsia="微软雅黑" w:cs="微软雅黑"/>
          <w:sz w:val="24"/>
          <w:szCs w:val="24"/>
        </w:rPr>
      </w:pPr>
      <w:bookmarkStart w:id="6" w:name="_Toc317775175"/>
      <w:bookmarkStart w:id="7" w:name="_Toc313893526"/>
      <w:bookmarkStart w:id="8" w:name="_Toc485108767"/>
      <w:bookmarkStart w:id="9" w:name="_Toc22677"/>
      <w:r>
        <w:rPr>
          <w:rFonts w:hint="eastAsia" w:ascii="微软雅黑" w:hAnsi="微软雅黑" w:eastAsia="微软雅黑" w:cs="微软雅黑"/>
          <w:sz w:val="24"/>
          <w:szCs w:val="24"/>
        </w:rPr>
        <w:t>一、比选内容</w:t>
      </w:r>
      <w:bookmarkEnd w:id="6"/>
      <w:bookmarkEnd w:id="7"/>
      <w:bookmarkEnd w:id="8"/>
      <w:bookmarkEnd w:id="9"/>
    </w:p>
    <w:tbl>
      <w:tblPr>
        <w:tblStyle w:val="58"/>
        <w:tblpPr w:leftFromText="180" w:rightFromText="180" w:vertAnchor="text" w:tblpXSpec="center" w:tblpY="1"/>
        <w:tblOverlap w:val="never"/>
        <w:tblW w:w="8915"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2或3</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10" w:firstLineChars="100"/>
              <w:rPr>
                <w:rFonts w:hint="eastAsia" w:ascii="方正仿宋_GBK" w:hAnsi="宋体" w:eastAsia="方正仿宋_GBK"/>
                <w:szCs w:val="21"/>
              </w:rPr>
            </w:pPr>
            <w:r>
              <w:rPr>
                <w:rFonts w:hint="eastAsia" w:ascii="方正仿宋_GBK" w:hAnsi="宋体" w:eastAsia="方正仿宋_GBK"/>
                <w:szCs w:val="21"/>
              </w:rPr>
              <w:t>期限三年，合同一年一签。每年在上年基础上增加10%</w:t>
            </w:r>
          </w:p>
        </w:tc>
      </w:tr>
    </w:tbl>
    <w:p>
      <w:pPr>
        <w:keepNext/>
        <w:keepLines/>
        <w:outlineLvl w:val="2"/>
        <w:rPr>
          <w:rFonts w:ascii="方正仿宋_GBK" w:hAnsi="Times New Roman" w:eastAsia="方正仿宋_GBK" w:cs="Times New Roman"/>
          <w:b/>
          <w:sz w:val="24"/>
          <w:szCs w:val="24"/>
        </w:rPr>
      </w:pPr>
      <w:bookmarkStart w:id="10" w:name="_Toc485108768"/>
      <w:bookmarkStart w:id="11" w:name="_Toc19013"/>
      <w:r>
        <w:rPr>
          <w:rStyle w:val="69"/>
          <w:rFonts w:hint="eastAsia" w:ascii="微软雅黑" w:hAnsi="微软雅黑" w:eastAsia="微软雅黑" w:cs="微软雅黑"/>
          <w:sz w:val="24"/>
          <w:szCs w:val="24"/>
        </w:rPr>
        <w:t>二、资金来源</w:t>
      </w:r>
      <w:bookmarkEnd w:id="10"/>
      <w:bookmarkEnd w:id="11"/>
      <w:r>
        <w:rPr>
          <w:rFonts w:hint="eastAsia"/>
        </w:rPr>
        <w:t>：</w:t>
      </w:r>
      <w:bookmarkStart w:id="12" w:name="_Toc31105"/>
      <w:bookmarkStart w:id="13" w:name="_Toc3816"/>
      <w:r>
        <w:rPr>
          <w:rFonts w:hint="eastAsia" w:ascii="方正仿宋_GBK" w:hAnsi="宋体" w:eastAsia="方正仿宋_GBK" w:cs="Times New Roman"/>
          <w:sz w:val="24"/>
          <w:szCs w:val="24"/>
        </w:rPr>
        <w:t>医院自筹</w:t>
      </w:r>
      <w:bookmarkEnd w:id="12"/>
      <w:bookmarkEnd w:id="13"/>
    </w:p>
    <w:p>
      <w:pPr>
        <w:pStyle w:val="3"/>
        <w:spacing w:line="240" w:lineRule="auto"/>
        <w:rPr>
          <w:rStyle w:val="69"/>
          <w:rFonts w:ascii="微软雅黑" w:hAnsi="微软雅黑" w:eastAsia="微软雅黑" w:cs="微软雅黑"/>
          <w:b/>
          <w:sz w:val="24"/>
          <w:szCs w:val="24"/>
        </w:rPr>
      </w:pPr>
      <w:bookmarkStart w:id="14" w:name="_Toc485108769"/>
      <w:bookmarkStart w:id="15" w:name="_Toc6721"/>
      <w:r>
        <w:rPr>
          <w:rFonts w:hint="eastAsia" w:ascii="微软雅黑" w:hAnsi="微软雅黑" w:eastAsia="微软雅黑" w:cs="微软雅黑"/>
          <w:sz w:val="24"/>
          <w:szCs w:val="24"/>
        </w:rPr>
        <w:t>三、</w:t>
      </w:r>
      <w:bookmarkEnd w:id="14"/>
      <w:r>
        <w:rPr>
          <w:rFonts w:hint="eastAsia" w:ascii="微软雅黑" w:hAnsi="微软雅黑" w:eastAsia="微软雅黑" w:cs="微软雅黑"/>
          <w:sz w:val="24"/>
          <w:szCs w:val="24"/>
        </w:rPr>
        <w:t>供应商资格要求</w:t>
      </w:r>
      <w:bookmarkEnd w:id="15"/>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w:t>
      </w:r>
      <w:r>
        <w:rPr>
          <w:rFonts w:hint="eastAsia" w:ascii="方正仿宋_GBK" w:hAnsi="宋体" w:eastAsia="方正仿宋_GBK"/>
          <w:sz w:val="24"/>
          <w:szCs w:val="24"/>
        </w:rPr>
        <w:t>基本</w:t>
      </w:r>
      <w:r>
        <w:rPr>
          <w:rFonts w:hint="eastAsia" w:ascii="方正仿宋_GBK" w:hAnsi="宋体" w:eastAsia="方正仿宋_GBK" w:cs="Times New Roman"/>
          <w:sz w:val="24"/>
          <w:szCs w:val="24"/>
        </w:rPr>
        <w:t>资格条件</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1.具有独立承担民事责任的能力；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2.具有良好的商业信誉和健全的财务会计制度；</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3.具有履行合同所必需的设备和专业技术能力；</w:t>
      </w:r>
    </w:p>
    <w:p>
      <w:pPr>
        <w:spacing w:line="4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4.有依法缴纳税收和社会保障资金的良好记录；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5.参加政府采购活动前三年内，在经营活动中没有重大违法记录；</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6.法律、行政法规规定的其他条件；</w:t>
      </w:r>
    </w:p>
    <w:p>
      <w:pPr>
        <w:keepNext/>
        <w:snapToGrid w:val="0"/>
        <w:spacing w:line="400" w:lineRule="exact"/>
        <w:ind w:firstLine="480" w:firstLineChars="200"/>
        <w:outlineLvl w:val="0"/>
        <w:rPr>
          <w:rFonts w:ascii="方正仿宋_GBK" w:hAnsi="宋体" w:eastAsia="方正仿宋_GBK" w:cs="Times New Roman"/>
          <w:bCs/>
          <w:sz w:val="24"/>
          <w:szCs w:val="24"/>
        </w:rPr>
      </w:pPr>
      <w:r>
        <w:rPr>
          <w:rFonts w:hint="eastAsia" w:ascii="方正仿宋_GBK" w:hAnsi="宋体" w:eastAsia="方正仿宋_GBK" w:cs="Times New Roman"/>
          <w:bCs/>
          <w:sz w:val="24"/>
          <w:szCs w:val="24"/>
        </w:rPr>
        <w:t>7.营业执照、法人身份证复印件等相关资料。</w:t>
      </w:r>
    </w:p>
    <w:p>
      <w:pPr>
        <w:ind w:firstLine="480" w:firstLineChars="200"/>
        <w:rPr>
          <w:rFonts w:ascii="方正仿宋_GBK" w:hAnsi="宋体" w:eastAsia="方正仿宋_GBK" w:cs="Times New Roman"/>
          <w:sz w:val="24"/>
          <w:szCs w:val="24"/>
        </w:rPr>
      </w:pPr>
    </w:p>
    <w:bookmarkEnd w:id="4"/>
    <w:bookmarkEnd w:id="5"/>
    <w:p>
      <w:pPr>
        <w:pStyle w:val="3"/>
        <w:spacing w:line="240" w:lineRule="auto"/>
        <w:rPr>
          <w:sz w:val="24"/>
          <w:szCs w:val="24"/>
        </w:rPr>
      </w:pPr>
      <w:bookmarkStart w:id="16" w:name="_Toc6"/>
      <w:bookmarkStart w:id="17" w:name="_Toc3354"/>
      <w:bookmarkStart w:id="18" w:name="_Toc102227313"/>
      <w:bookmarkStart w:id="19" w:name="_Toc485108774"/>
      <w:r>
        <w:rPr>
          <w:rFonts w:hint="eastAsia" w:ascii="微软雅黑" w:hAnsi="微软雅黑" w:eastAsia="微软雅黑" w:cs="微软雅黑"/>
          <w:sz w:val="24"/>
          <w:szCs w:val="24"/>
        </w:rPr>
        <w:t>四、比选有关说明</w:t>
      </w:r>
      <w:bookmarkEnd w:id="16"/>
      <w:bookmarkEnd w:id="17"/>
      <w:r>
        <w:rPr>
          <w:sz w:val="24"/>
          <w:szCs w:val="24"/>
        </w:rPr>
        <w:tab/>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（一）凡有意参加比选的供应商，请在重医附属永川医院官网下载本项目比选文件以及图纸、澄清等比选前公布的所有项目资料，无论供应商下载与否，均视为已知晓所有比选实质性要求内容。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（二）比选公告期限：自采购公告发布之日（2022年5月</w:t>
      </w:r>
      <w:r>
        <w:rPr>
          <w:rFonts w:hint="eastAsia" w:ascii="方正仿宋_GBK" w:hAnsi="宋体" w:eastAsia="方正仿宋_GBK" w:cs="Times New Roman"/>
          <w:sz w:val="24"/>
          <w:szCs w:val="24"/>
          <w:lang w:val="en-US" w:eastAsia="zh-CN"/>
        </w:rPr>
        <w:t>16</w:t>
      </w:r>
      <w:r>
        <w:rPr>
          <w:rFonts w:hint="eastAsia" w:ascii="方正仿宋_GBK" w:hAnsi="宋体" w:eastAsia="方正仿宋_GBK" w:cs="Times New Roman"/>
          <w:sz w:val="24"/>
          <w:szCs w:val="24"/>
        </w:rPr>
        <w:t>日）起三个工作日。</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（三）报名方式</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凡有意参加的供应商，请于2022年5月</w:t>
      </w:r>
      <w:r>
        <w:rPr>
          <w:rFonts w:hint="eastAsia" w:ascii="方正仿宋_GBK" w:hAnsi="宋体" w:eastAsia="方正仿宋_GBK" w:cs="Times New Roman"/>
          <w:sz w:val="24"/>
          <w:szCs w:val="24"/>
          <w:lang w:val="en-US" w:eastAsia="zh-CN"/>
        </w:rPr>
        <w:t>16</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：00时至2022年5月</w:t>
      </w:r>
      <w:r>
        <w:rPr>
          <w:rFonts w:hint="eastAsia" w:ascii="方正仿宋_GBK" w:hAnsi="宋体" w:eastAsia="方正仿宋_GBK" w:cs="Times New Roman"/>
          <w:sz w:val="24"/>
          <w:szCs w:val="24"/>
          <w:lang w:val="en-US" w:eastAsia="zh-CN"/>
        </w:rPr>
        <w:t>19</w:t>
      </w:r>
      <w:r>
        <w:rPr>
          <w:rFonts w:hint="eastAsia" w:ascii="方正仿宋_GBK" w:hAnsi="宋体" w:eastAsia="方正仿宋_GBK" w:cs="Times New Roman"/>
          <w:sz w:val="24"/>
          <w:szCs w:val="24"/>
        </w:rPr>
        <w:t>日</w:t>
      </w:r>
      <w:r>
        <w:rPr>
          <w:rFonts w:hint="eastAsia" w:ascii="方正仿宋_GBK" w:hAnsi="宋体" w:eastAsia="方正仿宋_GBK" w:cs="Times New Roman"/>
          <w:sz w:val="24"/>
          <w:szCs w:val="24"/>
          <w:lang w:val="en-US" w:eastAsia="zh-CN"/>
        </w:rPr>
        <w:t>9</w:t>
      </w:r>
      <w:r>
        <w:rPr>
          <w:rFonts w:hint="eastAsia" w:ascii="方正仿宋_GBK" w:hAnsi="宋体" w:eastAsia="方正仿宋_GBK" w:cs="Times New Roman"/>
          <w:sz w:val="24"/>
          <w:szCs w:val="24"/>
        </w:rPr>
        <w:t>:00时（法定公休日、法定节假日除外）线上报名。</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线上报名方式：</w:t>
      </w:r>
      <w:r>
        <w:fldChar w:fldCharType="begin"/>
      </w:r>
      <w: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fldChar w:fldCharType="separate"/>
      </w:r>
      <w:r>
        <w:rPr>
          <w:rFonts w:hint="eastAsia" w:ascii="方正仿宋_GBK" w:hAnsi="宋体" w:eastAsia="方正仿宋_GBK" w:cs="Times New Roman"/>
          <w:sz w:val="24"/>
          <w:szCs w:val="24"/>
        </w:rPr>
        <w:t>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w:t>
      </w:r>
      <w:r>
        <w:rPr>
          <w:rFonts w:hint="eastAsia" w:ascii="方正仿宋_GBK" w:hAnsi="宋体" w:eastAsia="方正仿宋_GBK" w:cs="Times New Roman"/>
          <w:sz w:val="24"/>
          <w:szCs w:val="24"/>
        </w:rPr>
        <w:fldChar w:fldCharType="end"/>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报名的单位名称必须与响应人名称相同，只有按上述规定报名后，才具备响应资格</w:t>
      </w:r>
      <w:r>
        <w:rPr>
          <w:rFonts w:hint="eastAsia" w:ascii="方正仿宋_GBK" w:hAnsi="宋体" w:eastAsia="方正仿宋_GBK" w:cs="Times New Roman"/>
          <w:color w:val="000000"/>
          <w:sz w:val="28"/>
          <w:szCs w:val="28"/>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（四）供应商须满足以下二种要件，其响应文件才被接受：</w:t>
      </w:r>
    </w:p>
    <w:p>
      <w:pPr>
        <w:spacing w:line="38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1、按时递交了响应文件</w:t>
      </w:r>
      <w:r>
        <w:rPr>
          <w:rFonts w:hint="eastAsia" w:ascii="仿宋" w:hAnsi="仿宋" w:eastAsia="仿宋" w:cs="Times New Roman"/>
          <w:sz w:val="24"/>
          <w:szCs w:val="24"/>
        </w:rPr>
        <w:t>（</w:t>
      </w:r>
      <w:r>
        <w:rPr>
          <w:rFonts w:hint="eastAsia" w:ascii="方正仿宋_GBK" w:hAnsi="宋体" w:eastAsia="方正仿宋_GBK" w:cs="Times New Roman"/>
          <w:sz w:val="24"/>
          <w:szCs w:val="24"/>
        </w:rPr>
        <w:t>重庆医科大学附属永川医院综合楼4楼会议室</w:t>
      </w:r>
      <w:r>
        <w:rPr>
          <w:rFonts w:hint="eastAsia" w:ascii="仿宋" w:hAnsi="仿宋" w:eastAsia="仿宋" w:cs="Times New Roman"/>
          <w:sz w:val="24"/>
          <w:szCs w:val="24"/>
        </w:rPr>
        <w:t>）</w:t>
      </w:r>
      <w:r>
        <w:rPr>
          <w:rFonts w:hint="eastAsia" w:ascii="方正仿宋_GBK" w:hAnsi="宋体" w:eastAsia="方正仿宋_GBK" w:cs="Times New Roman"/>
          <w:sz w:val="24"/>
          <w:szCs w:val="24"/>
        </w:rPr>
        <w:t>；</w:t>
      </w:r>
    </w:p>
    <w:p>
      <w:pPr>
        <w:spacing w:line="400" w:lineRule="exact"/>
        <w:ind w:left="10" w:leftChars="5"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2、按时</w:t>
      </w:r>
      <w:r>
        <w:rPr>
          <w:rFonts w:hint="eastAsia" w:ascii="方正仿宋_GBK" w:hAnsi="宋体" w:eastAsia="方正仿宋_GBK"/>
          <w:sz w:val="24"/>
          <w:szCs w:val="24"/>
        </w:rPr>
        <w:t>线上报名</w:t>
      </w:r>
      <w:r>
        <w:rPr>
          <w:rFonts w:hint="eastAsia" w:ascii="方正仿宋_GBK" w:hAnsi="宋体" w:eastAsia="方正仿宋_GBK" w:cs="Times New Roman"/>
          <w:sz w:val="24"/>
          <w:szCs w:val="24"/>
        </w:rPr>
        <w:t>。</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（五）比选地点：重庆医科大学附属永川医院综合楼4楼会议室（地址：重庆市永川区萱花路439号）</w:t>
      </w:r>
    </w:p>
    <w:p>
      <w:pPr>
        <w:spacing w:line="400" w:lineRule="exact"/>
        <w:ind w:left="10" w:leftChars="5"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（六）响应文件递交开始时间：2022年5月</w:t>
      </w:r>
      <w:r>
        <w:rPr>
          <w:rFonts w:hint="eastAsia" w:ascii="方正仿宋_GBK" w:hAnsi="宋体" w:eastAsia="方正仿宋_GBK" w:cs="Times New Roman"/>
          <w:sz w:val="24"/>
          <w:szCs w:val="24"/>
          <w:lang w:val="en-US" w:eastAsia="zh-CN"/>
        </w:rPr>
        <w:t>19</w:t>
      </w:r>
      <w:r>
        <w:rPr>
          <w:rFonts w:hint="eastAsia" w:ascii="方正仿宋_GBK" w:hAnsi="宋体" w:eastAsia="方正仿宋_GBK" w:cs="Times New Roman"/>
          <w:sz w:val="24"/>
          <w:szCs w:val="24"/>
        </w:rPr>
        <w:t>日北京时间</w:t>
      </w:r>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w:t>
      </w:r>
      <w:r>
        <w:rPr>
          <w:rFonts w:hint="eastAsia" w:ascii="方正仿宋_GBK" w:hAnsi="宋体" w:eastAsia="方正仿宋_GBK" w:cs="Times New Roman"/>
          <w:sz w:val="24"/>
          <w:szCs w:val="24"/>
          <w:lang w:val="en-US" w:eastAsia="zh-CN"/>
        </w:rPr>
        <w:t>1</w:t>
      </w:r>
      <w:r>
        <w:rPr>
          <w:rFonts w:hint="eastAsia" w:ascii="方正仿宋_GBK" w:hAnsi="宋体" w:eastAsia="方正仿宋_GBK" w:cs="Times New Roman"/>
          <w:sz w:val="24"/>
          <w:szCs w:val="24"/>
        </w:rPr>
        <w:t>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0" w:name="_Toc26538"/>
      <w:r>
        <w:rPr>
          <w:rFonts w:hint="eastAsia" w:ascii="方正仿宋_GBK" w:hAnsi="宋体" w:eastAsia="方正仿宋_GBK" w:cs="Times New Roman"/>
          <w:sz w:val="24"/>
          <w:szCs w:val="24"/>
        </w:rPr>
        <w:t>（七）响应文件递交截止时间：2022年5月</w:t>
      </w:r>
      <w:r>
        <w:rPr>
          <w:rFonts w:hint="eastAsia" w:ascii="方正仿宋_GBK" w:hAnsi="宋体" w:eastAsia="方正仿宋_GBK" w:cs="Times New Roman"/>
          <w:sz w:val="24"/>
          <w:szCs w:val="24"/>
          <w:lang w:val="en-US" w:eastAsia="zh-CN"/>
        </w:rPr>
        <w:t>19</w:t>
      </w:r>
      <w:r>
        <w:rPr>
          <w:rFonts w:hint="eastAsia" w:ascii="方正仿宋_GBK" w:hAnsi="宋体" w:eastAsia="方正仿宋_GBK" w:cs="Times New Roman"/>
          <w:sz w:val="24"/>
          <w:szCs w:val="24"/>
        </w:rPr>
        <w:t>日北京时间</w:t>
      </w:r>
      <w:bookmarkEnd w:id="20"/>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:30</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bookmarkStart w:id="21" w:name="_Toc7033"/>
      <w:r>
        <w:rPr>
          <w:rFonts w:hint="eastAsia" w:ascii="方正仿宋_GBK" w:hAnsi="宋体" w:eastAsia="方正仿宋_GBK" w:cs="Times New Roman"/>
          <w:sz w:val="24"/>
          <w:szCs w:val="24"/>
        </w:rPr>
        <w:t>（八）比选开始时间：2022年5月</w:t>
      </w:r>
      <w:r>
        <w:rPr>
          <w:rFonts w:hint="eastAsia" w:ascii="方正仿宋_GBK" w:hAnsi="宋体" w:eastAsia="方正仿宋_GBK" w:cs="Times New Roman"/>
          <w:sz w:val="24"/>
          <w:szCs w:val="24"/>
          <w:lang w:val="en-US" w:eastAsia="zh-CN"/>
        </w:rPr>
        <w:t>19</w:t>
      </w:r>
      <w:r>
        <w:rPr>
          <w:rFonts w:hint="eastAsia" w:ascii="方正仿宋_GBK" w:hAnsi="宋体" w:eastAsia="方正仿宋_GBK" w:cs="Times New Roman"/>
          <w:sz w:val="24"/>
          <w:szCs w:val="24"/>
        </w:rPr>
        <w:t>日北京时间</w:t>
      </w:r>
      <w:bookmarkEnd w:id="21"/>
      <w:r>
        <w:rPr>
          <w:rFonts w:hint="eastAsia" w:ascii="方正仿宋_GBK" w:hAnsi="宋体" w:eastAsia="方正仿宋_GBK" w:cs="Times New Roman"/>
          <w:sz w:val="24"/>
          <w:szCs w:val="24"/>
          <w:lang w:val="en-US" w:eastAsia="zh-CN"/>
        </w:rPr>
        <w:t>14</w:t>
      </w:r>
      <w:r>
        <w:rPr>
          <w:rFonts w:hint="eastAsia" w:ascii="方正仿宋_GBK" w:hAnsi="宋体" w:eastAsia="方正仿宋_GBK" w:cs="Times New Roman"/>
          <w:sz w:val="24"/>
          <w:szCs w:val="24"/>
        </w:rPr>
        <w:t>:30</w:t>
      </w:r>
    </w:p>
    <w:p>
      <w:pPr>
        <w:pStyle w:val="3"/>
        <w:rPr>
          <w:rFonts w:ascii="微软雅黑" w:hAnsi="微软雅黑" w:eastAsia="微软雅黑" w:cs="微软雅黑"/>
          <w:sz w:val="24"/>
          <w:szCs w:val="24"/>
        </w:rPr>
      </w:pPr>
      <w:bookmarkStart w:id="22" w:name="_Toc22104"/>
      <w:r>
        <w:rPr>
          <w:rFonts w:hint="eastAsia" w:ascii="微软雅黑" w:hAnsi="微软雅黑" w:eastAsia="微软雅黑" w:cs="微软雅黑"/>
          <w:sz w:val="24"/>
          <w:szCs w:val="24"/>
        </w:rPr>
        <w:t>五、本项目无需购买比选文件</w:t>
      </w:r>
      <w:bookmarkEnd w:id="22"/>
      <w:bookmarkStart w:id="23" w:name="_Toc373860294"/>
      <w:bookmarkStart w:id="24" w:name="_Toc54171062"/>
      <w:bookmarkStart w:id="25" w:name="_Toc54718176"/>
    </w:p>
    <w:bookmarkEnd w:id="23"/>
    <w:bookmarkEnd w:id="24"/>
    <w:bookmarkEnd w:id="25"/>
    <w:p>
      <w:pPr>
        <w:pStyle w:val="3"/>
        <w:rPr>
          <w:rFonts w:ascii="微软雅黑" w:hAnsi="微软雅黑" w:eastAsia="微软雅黑" w:cs="微软雅黑"/>
          <w:sz w:val="24"/>
          <w:szCs w:val="24"/>
        </w:rPr>
      </w:pPr>
      <w:bookmarkStart w:id="26" w:name="_Toc1625"/>
      <w:bookmarkStart w:id="27" w:name="_Toc30386"/>
      <w:r>
        <w:rPr>
          <w:rFonts w:hint="eastAsia" w:ascii="微软雅黑" w:hAnsi="微软雅黑" w:eastAsia="微软雅黑" w:cs="微软雅黑"/>
          <w:sz w:val="24"/>
          <w:szCs w:val="24"/>
        </w:rPr>
        <w:t>六、其它有关规定</w:t>
      </w:r>
      <w:bookmarkEnd w:id="26"/>
      <w:bookmarkEnd w:id="27"/>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（一）单位负责人为同一人或者存在直接控股、管理关系的不同供应商，</w:t>
      </w:r>
      <w:r>
        <w:rPr>
          <w:rFonts w:ascii="方正仿宋_GBK" w:hAnsi="宋体" w:eastAsia="方正仿宋_GBK" w:cs="Times New Roman"/>
          <w:sz w:val="24"/>
          <w:szCs w:val="24"/>
        </w:rPr>
        <w:t>不得参加同一合同项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下的政府采购活动</w:t>
      </w:r>
      <w:r>
        <w:rPr>
          <w:rFonts w:hint="eastAsia" w:ascii="方正仿宋_GBK" w:hAnsi="宋体" w:eastAsia="方正仿宋_GBK" w:cs="Times New Roman"/>
          <w:sz w:val="24"/>
          <w:szCs w:val="24"/>
        </w:rPr>
        <w:t>，否则均为无效比选。</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（二）为采购项目提供整体设计、规范编制或者项目管理、监理、检测等服务的供应商，不得再</w:t>
      </w:r>
      <w:r>
        <w:rPr>
          <w:rFonts w:ascii="方正仿宋_GBK" w:hAnsi="宋体" w:eastAsia="方正仿宋_GBK" w:cs="Times New Roman"/>
          <w:sz w:val="24"/>
          <w:szCs w:val="24"/>
        </w:rPr>
        <w:t>参加</w:t>
      </w:r>
      <w:r>
        <w:rPr>
          <w:rFonts w:hint="eastAsia" w:ascii="方正仿宋_GBK" w:hAnsi="宋体" w:eastAsia="方正仿宋_GBK" w:cs="Times New Roman"/>
          <w:sz w:val="24"/>
          <w:szCs w:val="24"/>
        </w:rPr>
        <w:t>该采购</w:t>
      </w:r>
      <w:r>
        <w:rPr>
          <w:rFonts w:ascii="方正仿宋_GBK" w:hAnsi="宋体" w:eastAsia="方正仿宋_GBK" w:cs="Times New Roman"/>
          <w:sz w:val="24"/>
          <w:szCs w:val="24"/>
        </w:rPr>
        <w:t>项目的</w:t>
      </w:r>
      <w:r>
        <w:rPr>
          <w:rFonts w:hint="eastAsia" w:ascii="方正仿宋_GBK" w:hAnsi="宋体" w:eastAsia="方正仿宋_GBK" w:cs="Times New Roman"/>
          <w:sz w:val="24"/>
          <w:szCs w:val="24"/>
        </w:rPr>
        <w:t>其他</w:t>
      </w:r>
      <w:r>
        <w:rPr>
          <w:rFonts w:ascii="方正仿宋_GBK" w:hAnsi="宋体" w:eastAsia="方正仿宋_GBK" w:cs="Times New Roman"/>
          <w:sz w:val="24"/>
          <w:szCs w:val="24"/>
        </w:rPr>
        <w:t>采购活动</w:t>
      </w:r>
      <w:r>
        <w:rPr>
          <w:rFonts w:hint="eastAsia" w:ascii="方正仿宋_GBK" w:hAnsi="宋体" w:eastAsia="方正仿宋_GBK" w:cs="Times New Roman"/>
          <w:sz w:val="24"/>
          <w:szCs w:val="24"/>
        </w:rPr>
        <w:t>。</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本项目在响应文件提交截止时间前发布的比选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w:t>
      </w:r>
      <w:r>
        <w:rPr>
          <w:rFonts w:hint="eastAsia" w:ascii="方正仿宋_GBK" w:hAnsi="宋体" w:eastAsia="方正仿宋_GBK"/>
          <w:sz w:val="24"/>
          <w:szCs w:val="24"/>
        </w:rPr>
        <w:t>未线上报名的，其响应文件恕不接收，</w:t>
      </w:r>
      <w:r>
        <w:rPr>
          <w:rFonts w:hint="eastAsia" w:ascii="方正仿宋_GBK" w:hAnsi="宋体" w:eastAsia="方正仿宋_GBK" w:cs="Times New Roman"/>
          <w:sz w:val="24"/>
          <w:szCs w:val="24"/>
        </w:rPr>
        <w:t>超过响应文件截止时间递交的响应文件，恕不接收。</w:t>
      </w:r>
    </w:p>
    <w:p>
      <w:pPr>
        <w:spacing w:line="38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（八）本项目不接受联合体参与比选或不接受合同分包、转包。</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ascii="微软雅黑" w:hAnsi="微软雅黑" w:eastAsia="微软雅黑" w:cs="微软雅黑"/>
          <w:sz w:val="24"/>
          <w:szCs w:val="24"/>
        </w:rPr>
      </w:pPr>
      <w:bookmarkStart w:id="28" w:name="_Toc96605950"/>
      <w:bookmarkStart w:id="29" w:name="_Toc15642"/>
      <w:r>
        <w:rPr>
          <w:rFonts w:hint="eastAsia" w:ascii="微软雅黑" w:hAnsi="微软雅黑" w:eastAsia="微软雅黑" w:cs="微软雅黑"/>
          <w:sz w:val="24"/>
          <w:szCs w:val="24"/>
        </w:rPr>
        <w:t>七、防疫要求</w:t>
      </w:r>
      <w:bookmarkEnd w:id="28"/>
      <w:bookmarkEnd w:id="29"/>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关于加强交易现场疫情防控工作的通知</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按照永川区政府关于当前疫情防控相关工作要求，重庆医科大学附属永川医院将加强现场疫情防控管理，现通知如下：</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（二）所有来自或途径中（高）风险区所在城市的来永返永人员，需持48小时内核酸检测阴性证明。若无法提供的，将不能进入医院，产生的一切后果自负。</w:t>
      </w:r>
    </w:p>
    <w:p>
      <w:pPr>
        <w:snapToGrid w:val="0"/>
        <w:ind w:firstLine="566" w:firstLineChars="236"/>
        <w:rPr>
          <w:rFonts w:ascii="方正仿宋_GBK" w:hAnsi="宋体" w:eastAsia="方正仿宋_GBK" w:cs="Times New Roman"/>
          <w:sz w:val="24"/>
          <w:szCs w:val="24"/>
        </w:rPr>
      </w:pPr>
      <w:r>
        <w:rPr>
          <w:rFonts w:hint="eastAsia" w:ascii="方正仿宋_GBK" w:hAnsi="宋体" w:eastAsia="方正仿宋_GBK" w:cs="Times New Roman"/>
          <w:sz w:val="24"/>
          <w:szCs w:val="24"/>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（四）由于区域疫情防控政策动态调整，请及时关注最新政策发布情况。如不清楚防控要求，请于采购前致电重庆医科大学附属永川医院采购办询问，咨询电话：85385105</w:t>
      </w:r>
      <w:bookmarkStart w:id="30" w:name="_Toc31390"/>
    </w:p>
    <w:p>
      <w:pPr>
        <w:pStyle w:val="3"/>
        <w:spacing w:line="240" w:lineRule="auto"/>
        <w:rPr>
          <w:rFonts w:ascii="微软雅黑" w:hAnsi="微软雅黑" w:eastAsia="微软雅黑" w:cs="微软雅黑"/>
          <w:sz w:val="24"/>
          <w:szCs w:val="24"/>
        </w:rPr>
      </w:pPr>
      <w:bookmarkStart w:id="31" w:name="_Toc24686"/>
      <w:r>
        <w:rPr>
          <w:rFonts w:hint="eastAsia" w:ascii="微软雅黑" w:hAnsi="微软雅黑" w:eastAsia="微软雅黑" w:cs="微软雅黑"/>
          <w:sz w:val="24"/>
          <w:szCs w:val="24"/>
        </w:rPr>
        <w:t>八、联系方式</w:t>
      </w:r>
      <w:bookmarkEnd w:id="30"/>
      <w:bookmarkEnd w:id="31"/>
    </w:p>
    <w:bookmarkEnd w:id="18"/>
    <w:bookmarkEnd w:id="19"/>
    <w:p>
      <w:pPr>
        <w:ind w:firstLine="480" w:firstLineChars="200"/>
        <w:jc w:val="left"/>
        <w:rPr>
          <w:rFonts w:ascii="方正仿宋_GBK" w:hAnsi="宋体" w:eastAsia="方正仿宋_GBK" w:cs="Times New Roman"/>
          <w:sz w:val="24"/>
          <w:szCs w:val="24"/>
        </w:rPr>
      </w:pPr>
      <w:bookmarkStart w:id="32" w:name="_Toc31093"/>
      <w:r>
        <w:rPr>
          <w:rFonts w:hint="eastAsia" w:ascii="方正仿宋_GBK" w:hAnsi="宋体" w:eastAsia="方正仿宋_GBK" w:cs="Times New Roman"/>
          <w:sz w:val="24"/>
          <w:szCs w:val="24"/>
        </w:rPr>
        <w:t>采购人：重庆医科大学附属永川医院</w:t>
      </w:r>
    </w:p>
    <w:p>
      <w:pPr>
        <w:ind w:firstLine="480" w:firstLineChars="200"/>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联系人：潘老师</w:t>
      </w:r>
      <w:r>
        <w:rPr>
          <w:rFonts w:hint="eastAsia" w:ascii="方正仿宋_GBK" w:hAnsi="宋体" w:eastAsia="方正仿宋_GBK" w:cs="Times New Roman"/>
          <w:sz w:val="24"/>
          <w:szCs w:val="24"/>
          <w:lang w:eastAsia="zh-CN"/>
        </w:rPr>
        <w:t>、邓老师</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电  话：（023）85385105  </w:t>
      </w:r>
    </w:p>
    <w:p>
      <w:pPr>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地  址： 重庆市永川区萱花路439号</w:t>
      </w:r>
    </w:p>
    <w:bookmarkEnd w:id="187"/>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p>
      <w:pPr>
        <w:ind w:firstLine="720" w:firstLineChars="200"/>
        <w:jc w:val="left"/>
        <w:rPr>
          <w:rFonts w:ascii="方正小标宋_GBK" w:hAnsi="宋体" w:eastAsia="方正小标宋_GBK" w:cs="Times New Roman"/>
          <w:sz w:val="36"/>
          <w:szCs w:val="30"/>
        </w:rPr>
      </w:pPr>
    </w:p>
    <w:bookmarkEnd w:id="32"/>
    <w:p>
      <w:pPr>
        <w:pStyle w:val="2"/>
        <w:jc w:val="center"/>
        <w:rPr>
          <w:b/>
        </w:rPr>
      </w:pPr>
    </w:p>
    <w:p/>
    <w:p/>
    <w:p/>
    <w:p/>
    <w:p/>
    <w:p>
      <w:pPr>
        <w:pStyle w:val="2"/>
        <w:jc w:val="center"/>
        <w:rPr>
          <w:b/>
        </w:rPr>
      </w:pPr>
      <w:bookmarkStart w:id="33" w:name="_Toc3069"/>
      <w:r>
        <w:rPr>
          <w:rFonts w:hint="eastAsia" w:ascii="微软雅黑" w:hAnsi="微软雅黑" w:eastAsia="微软雅黑" w:cs="微软雅黑"/>
          <w:b/>
          <w:bCs/>
          <w:sz w:val="36"/>
          <w:szCs w:val="36"/>
        </w:rPr>
        <w:t>第二篇 供应商须知</w:t>
      </w:r>
      <w:bookmarkEnd w:id="33"/>
    </w:p>
    <w:p>
      <w:pPr>
        <w:pStyle w:val="3"/>
        <w:rPr>
          <w:rFonts w:ascii="微软雅黑" w:hAnsi="微软雅黑" w:eastAsia="微软雅黑" w:cs="微软雅黑"/>
          <w:sz w:val="24"/>
          <w:szCs w:val="24"/>
        </w:rPr>
      </w:pPr>
      <w:bookmarkStart w:id="34" w:name="_Toc7457"/>
      <w:r>
        <w:rPr>
          <w:rFonts w:hint="eastAsia" w:ascii="微软雅黑" w:hAnsi="微软雅黑" w:eastAsia="微软雅黑" w:cs="微软雅黑"/>
          <w:sz w:val="24"/>
          <w:szCs w:val="24"/>
        </w:rPr>
        <w:t>一、比选费用</w:t>
      </w:r>
      <w:bookmarkEnd w:id="34"/>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参与比选的供应商应承担其编制响应文件与递交响应文件所涉及的一切费用，不论比选结果如何，</w:t>
      </w:r>
      <w:r>
        <w:rPr>
          <w:rFonts w:hint="eastAsia" w:ascii="方正仿宋_GBK" w:hAnsi="宋体" w:eastAsia="方正仿宋_GBK"/>
          <w:sz w:val="24"/>
          <w:szCs w:val="24"/>
        </w:rPr>
        <w:t>医院在任何情况下无义务也无责任承担这些费用。</w:t>
      </w:r>
    </w:p>
    <w:p>
      <w:pPr>
        <w:pStyle w:val="3"/>
        <w:spacing w:line="240" w:lineRule="auto"/>
      </w:pPr>
      <w:bookmarkStart w:id="35" w:name="_Toc28914"/>
      <w:r>
        <w:rPr>
          <w:rFonts w:hint="eastAsia" w:ascii="微软雅黑" w:hAnsi="微软雅黑" w:eastAsia="微软雅黑" w:cs="微软雅黑"/>
          <w:sz w:val="24"/>
          <w:szCs w:val="24"/>
        </w:rPr>
        <w:t>二、比选文件</w:t>
      </w:r>
      <w:bookmarkEnd w:id="35"/>
      <w:r>
        <w:tab/>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w:t>
      </w:r>
      <w:r>
        <w:rPr>
          <w:rFonts w:hint="eastAsia" w:ascii="方正仿宋_GBK" w:hAnsi="宋体" w:eastAsia="方正仿宋_GBK"/>
          <w:sz w:val="24"/>
          <w:szCs w:val="24"/>
        </w:rPr>
        <w:t>医院</w:t>
      </w:r>
      <w:r>
        <w:rPr>
          <w:rFonts w:hint="eastAsia" w:ascii="方正仿宋_GBK" w:hAnsi="宋体" w:eastAsia="方正仿宋_GBK" w:cs="Times New Roman"/>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（三）比选文件的解释</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（四）本比选文件中，评审小组根据与供应商比选情况可能实质性变动的内容为比选文件第三、四、五篇全部内容。</w:t>
      </w:r>
    </w:p>
    <w:p>
      <w:pPr>
        <w:pStyle w:val="3"/>
        <w:spacing w:line="240" w:lineRule="auto"/>
        <w:rPr>
          <w:rFonts w:ascii="微软雅黑" w:hAnsi="微软雅黑" w:eastAsia="微软雅黑" w:cs="微软雅黑"/>
          <w:sz w:val="24"/>
          <w:szCs w:val="24"/>
        </w:rPr>
      </w:pPr>
      <w:bookmarkStart w:id="36" w:name="_Toc22453"/>
      <w:r>
        <w:rPr>
          <w:rFonts w:hint="eastAsia" w:ascii="微软雅黑" w:hAnsi="微软雅黑" w:eastAsia="微软雅黑" w:cs="微软雅黑"/>
          <w:sz w:val="24"/>
          <w:szCs w:val="24"/>
        </w:rPr>
        <w:t>三、比选要求</w:t>
      </w:r>
      <w:bookmarkEnd w:id="36"/>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（一）响应文件</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1、响应文件组成</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w:t>
      </w:r>
      <w:r>
        <w:rPr>
          <w:rFonts w:hint="eastAsia" w:ascii="方正仿宋_GBK" w:hAnsi="宋体" w:eastAsia="方正仿宋_GBK"/>
          <w:sz w:val="24"/>
          <w:szCs w:val="24"/>
        </w:rPr>
        <w:t>本项目不接受联合体参与及合同分包、转包。</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1、比选报价包括承租方在租用期间的水费、电费、物管费及税费等其他费用由承担方自行承担，</w:t>
      </w:r>
      <w:r>
        <w:rPr>
          <w:rFonts w:hint="eastAsia" w:ascii="方正仿宋_GBK" w:hAnsi="宋体" w:eastAsia="方正仿宋_GBK" w:cs="Times New Roman"/>
          <w:bCs/>
          <w:color w:val="auto"/>
          <w:sz w:val="24"/>
          <w:szCs w:val="24"/>
        </w:rPr>
        <w:t>其交费标准按商业用收费标准计算每月交入重庆医科大学附属永川医院财务科</w:t>
      </w:r>
      <w:r>
        <w:rPr>
          <w:rFonts w:hint="eastAsia" w:ascii="方正仿宋_GBK" w:hAnsi="宋体" w:eastAsia="方正仿宋_GBK" w:cs="Times New Roman"/>
          <w:color w:val="auto"/>
          <w:sz w:val="24"/>
          <w:szCs w:val="24"/>
        </w:rPr>
        <w:t>。因成交供应商自身原因造成漏报、少报皆由其自行承担责任，采购人不再补偿。</w:t>
      </w:r>
    </w:p>
    <w:p>
      <w:pPr>
        <w:spacing w:line="400" w:lineRule="exact"/>
        <w:ind w:firstLine="480" w:firstLineChars="20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2、门诊部外临街1-9号门面需整租，租赁费不低于6.29万元/月；10号、11号门面可整租也可单租，租赁费不低于0.48万元/月/间。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方正仿宋_GBK" w:hAnsi="宋体" w:eastAsia="方正仿宋_GBK" w:cs="Times New Roman"/>
          <w:sz w:val="24"/>
          <w:szCs w:val="24"/>
        </w:rPr>
      </w:pPr>
      <w:r>
        <w:rPr>
          <w:rFonts w:hint="eastAsia" w:ascii="方正仿宋_GBK" w:hAnsi="宋体" w:eastAsia="方正仿宋_GBK" w:cs="Times New Roman"/>
          <w:sz w:val="24"/>
          <w:szCs w:val="24"/>
        </w:rPr>
        <w:t>3、期限三年，合同一年一签，门面租金在上年租金的基础上递增10%，如遇市场门面租金出现大的变动（涨到了10%以上的部分）双方再议。</w:t>
      </w:r>
    </w:p>
    <w:p>
      <w:pPr>
        <w:spacing w:line="400" w:lineRule="exact"/>
        <w:ind w:firstLine="480" w:firstLineChars="200"/>
        <w:rPr>
          <w:rFonts w:ascii="方正仿宋_GBK" w:hAnsi="宋体" w:eastAsia="方正仿宋_GBK" w:cs="Times New Roman"/>
          <w:bCs/>
          <w:strike/>
          <w:color w:val="FF0000"/>
          <w:sz w:val="24"/>
          <w:szCs w:val="24"/>
        </w:rPr>
      </w:pP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（三）修正错误</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（四）提交响应文件的份数和签署</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1.响应文件一式二份，其中正本一份，副本三份；副本可为正本的复印件，应与正本一致，如出现不一致情况以正本为准。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2.</w:t>
      </w:r>
      <w:r>
        <w:rPr>
          <w:rFonts w:hint="eastAsia" w:ascii="方正仿宋_GBK" w:hAnsi="宋体" w:eastAsia="方正仿宋_GBK" w:cs="Times New Roman"/>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sz w:val="24"/>
          <w:szCs w:val="24"/>
        </w:rPr>
      </w:pPr>
      <w:r>
        <w:rPr>
          <w:rFonts w:hint="eastAsia" w:ascii="方正仿宋_GBK" w:hAnsi="宋体" w:eastAsia="方正仿宋_GBK" w:cs="Times New Roman"/>
          <w:sz w:val="24"/>
          <w:szCs w:val="24"/>
        </w:rPr>
        <w:t>4.</w:t>
      </w:r>
      <w:r>
        <w:rPr>
          <w:rFonts w:hint="eastAsia" w:ascii="仿宋" w:hAnsi="仿宋" w:eastAsia="仿宋" w:cs="仿宋"/>
          <w:sz w:val="24"/>
          <w:szCs w:val="24"/>
        </w:rPr>
        <w:t xml:space="preserve"> </w:t>
      </w:r>
      <w:r>
        <w:rPr>
          <w:rFonts w:hint="eastAsia" w:ascii="方正仿宋_GBK" w:hAnsi="宋体" w:eastAsia="方正仿宋_GBK" w:cs="Times New Roman"/>
          <w:sz w:val="24"/>
          <w:szCs w:val="24"/>
        </w:rPr>
        <w:t>邮寄</w:t>
      </w:r>
      <w:r>
        <w:rPr>
          <w:rFonts w:hint="eastAsia" w:ascii="仿宋" w:hAnsi="仿宋" w:eastAsia="仿宋" w:cs="仿宋"/>
          <w:sz w:val="24"/>
          <w:szCs w:val="24"/>
        </w:rPr>
        <w:t>、</w:t>
      </w:r>
      <w:r>
        <w:rPr>
          <w:rFonts w:hint="eastAsia" w:ascii="方正仿宋_GBK" w:hAnsi="宋体" w:eastAsia="方正仿宋_GBK" w:cs="Times New Roman"/>
          <w:sz w:val="24"/>
          <w:szCs w:val="24"/>
        </w:rPr>
        <w:t>电报、电话、传真形式的响应文件概不接受。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（五）响应文件的递交</w:t>
      </w:r>
    </w:p>
    <w:p>
      <w:pPr>
        <w:snapToGrid w:val="0"/>
        <w:spacing w:line="400" w:lineRule="exact"/>
        <w:ind w:firstLine="480" w:firstLineChars="200"/>
        <w:rPr>
          <w:rFonts w:ascii="方正仿宋_GBK" w:hAnsi="宋体" w:eastAsia="方正仿宋_GBK" w:cs="Times New Roman"/>
          <w:sz w:val="24"/>
          <w:szCs w:val="24"/>
        </w:rPr>
      </w:pPr>
      <w:bookmarkStart w:id="37" w:name="OLE_LINK3"/>
      <w:bookmarkStart w:id="38" w:name="OLE_LINK9"/>
      <w:bookmarkStart w:id="39" w:name="OLE_LINK8"/>
      <w:r>
        <w:rPr>
          <w:rFonts w:hint="eastAsia" w:ascii="方正仿宋_GBK" w:hAnsi="宋体" w:eastAsia="方正仿宋_GBK" w:cs="Times New Roman"/>
          <w:sz w:val="24"/>
          <w:szCs w:val="24"/>
        </w:rPr>
        <w:t>1.响应文件的密封与标记</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2.响应文件投递截止时间：参阅比选邀请书。</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（六）响应文件语言：简体中文</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（八）无效比选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供应商发生以下条款情况之一者，视为无效比选，</w:t>
      </w:r>
      <w:r>
        <w:rPr>
          <w:rFonts w:hint="eastAsia" w:ascii="方正仿宋_GBK" w:hAnsi="宋体" w:eastAsia="方正仿宋_GBK"/>
          <w:sz w:val="24"/>
          <w:szCs w:val="24"/>
        </w:rPr>
        <w:t>应为无效响应</w:t>
      </w:r>
      <w:r>
        <w:rPr>
          <w:rFonts w:hint="eastAsia" w:ascii="方正仿宋_GBK" w:hAnsi="宋体" w:eastAsia="方正仿宋_GBK" w:cs="Times New Roman"/>
          <w:sz w:val="24"/>
          <w:szCs w:val="24"/>
        </w:rPr>
        <w:t>：</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1.不符合规定的基本资格条件或特定资格条件；</w:t>
      </w:r>
    </w:p>
    <w:p>
      <w:pPr>
        <w:snapToGrid w:val="0"/>
        <w:spacing w:line="400" w:lineRule="exac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2.法定代表人或其授权代表未参加比选；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3.响应文件不按规定签字、盖章；</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4、供应商的报价超过采购货物总价限价或单价限价；</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5、供应商的最后报价超过采购预算；</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10、供应商以联合体形式参与比选的；</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37"/>
    <w:bookmarkEnd w:id="38"/>
    <w:bookmarkEnd w:id="39"/>
    <w:p>
      <w:pPr>
        <w:pStyle w:val="3"/>
        <w:spacing w:line="240" w:lineRule="auto"/>
        <w:rPr>
          <w:rFonts w:ascii="微软雅黑" w:hAnsi="微软雅黑" w:eastAsia="微软雅黑" w:cs="微软雅黑"/>
          <w:sz w:val="24"/>
          <w:szCs w:val="24"/>
        </w:rPr>
      </w:pPr>
      <w:bookmarkStart w:id="40" w:name="_Toc403569780"/>
      <w:bookmarkStart w:id="41" w:name="_Toc102227319"/>
      <w:bookmarkStart w:id="42" w:name="_Toc179714298"/>
      <w:bookmarkStart w:id="43" w:name="_Toc18122"/>
      <w:bookmarkStart w:id="44" w:name="_Toc342913393"/>
      <w:bookmarkStart w:id="45" w:name="_Toc21747"/>
      <w:r>
        <w:rPr>
          <w:rFonts w:hint="eastAsia" w:ascii="微软雅黑" w:hAnsi="微软雅黑" w:eastAsia="微软雅黑" w:cs="微软雅黑"/>
          <w:sz w:val="24"/>
          <w:szCs w:val="24"/>
        </w:rPr>
        <w:t>四、比选程序</w:t>
      </w:r>
      <w:bookmarkEnd w:id="40"/>
      <w:bookmarkEnd w:id="41"/>
      <w:bookmarkEnd w:id="42"/>
      <w:bookmarkEnd w:id="43"/>
      <w:bookmarkEnd w:id="44"/>
      <w:bookmarkEnd w:id="45"/>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060" w:type="dxa"/>
            <w:vMerge w:val="restart"/>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r>
              <w:rPr>
                <w:rFonts w:hint="eastAsia" w:ascii="方正仿宋_GBK" w:hAnsi="宋体" w:eastAsia="方正仿宋_GBK" w:cs="Times New Roman"/>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lang w:val="zh-CN"/>
              </w:rPr>
              <w:t>（2）</w:t>
            </w:r>
            <w:r>
              <w:rPr>
                <w:rFonts w:hint="eastAsia" w:ascii="方正仿宋_GBK" w:hAnsi="宋体" w:eastAsia="方正仿宋_GBK" w:cs="Times New Roman"/>
                <w:szCs w:val="21"/>
              </w:rPr>
              <w:t>具有良好的商业信誉和健全的财务会计制度</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（4）有依法缴纳税收和社会保障金的良好记录</w:t>
            </w:r>
          </w:p>
        </w:tc>
        <w:tc>
          <w:tcPr>
            <w:tcW w:w="4948" w:type="dxa"/>
            <w:vAlign w:val="center"/>
          </w:tcPr>
          <w:p>
            <w:pPr>
              <w:jc w:val="left"/>
              <w:rPr>
                <w:rFonts w:ascii="方正仿宋_GBK" w:hAnsi="仿宋" w:eastAsia="方正仿宋_GBK" w:cs="Times New Roman"/>
                <w:szCs w:val="21"/>
              </w:rPr>
            </w:pPr>
            <w:r>
              <w:rPr>
                <w:rFonts w:hint="eastAsia" w:ascii="方正仿宋_GBK" w:hAnsi="仿宋" w:eastAsia="方正仿宋_GBK" w:cs="Times New Roman"/>
                <w:szCs w:val="21"/>
              </w:rPr>
              <w:t>1.税务登记证（副本）（提供复印件）。</w:t>
            </w:r>
          </w:p>
          <w:p>
            <w:pPr>
              <w:jc w:val="left"/>
              <w:rPr>
                <w:rFonts w:ascii="方正仿宋_GBK" w:hAnsi="仿宋" w:eastAsia="方正仿宋_GBK" w:cs="Times New Roman"/>
                <w:szCs w:val="21"/>
              </w:rPr>
            </w:pPr>
            <w:r>
              <w:rPr>
                <w:rFonts w:hint="eastAsia" w:ascii="方正仿宋_GBK" w:hAnsi="仿宋" w:eastAsia="方正仿宋_GBK" w:cs="Times New Roman"/>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szCs w:val="21"/>
              </w:rPr>
            </w:pPr>
            <w:r>
              <w:rPr>
                <w:rFonts w:hint="eastAsia" w:ascii="方正仿宋_GBK" w:hAnsi="仿宋" w:eastAsia="方正仿宋_GBK" w:cs="Times New Roman"/>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lang w:val="zh-CN"/>
              </w:rPr>
            </w:pPr>
          </w:p>
        </w:tc>
        <w:tc>
          <w:tcPr>
            <w:tcW w:w="2825" w:type="dxa"/>
            <w:vAlign w:val="center"/>
          </w:tcPr>
          <w:p>
            <w:pPr>
              <w:snapToGrid w:val="0"/>
              <w:spacing w:line="400" w:lineRule="exact"/>
              <w:rPr>
                <w:rFonts w:ascii="方正仿宋_GBK" w:hAnsi="宋体" w:eastAsia="方正仿宋_GBK" w:cs="Times New Roman"/>
                <w:szCs w:val="21"/>
                <w:lang w:val="zh-CN"/>
              </w:rPr>
            </w:pPr>
            <w:r>
              <w:rPr>
                <w:rFonts w:hint="eastAsia" w:ascii="方正仿宋_GBK" w:hAnsi="宋体" w:eastAsia="方正仿宋_GBK" w:cs="Times New Roman"/>
                <w:szCs w:val="21"/>
              </w:rPr>
              <w:t>（5）参加采购活动前三年内，在经营活动中没有重大违法记录（注</w:t>
            </w:r>
            <w:r>
              <w:rPr>
                <w:rFonts w:ascii="Calibri" w:hAnsi="Calibri" w:eastAsia="方正仿宋_GBK" w:cs="Calibri"/>
                <w:szCs w:val="21"/>
              </w:rPr>
              <w:t>①</w:t>
            </w:r>
            <w:r>
              <w:rPr>
                <w:rFonts w:hint="eastAsia" w:ascii="方正仿宋_GBK" w:hAnsi="宋体" w:eastAsia="方正仿宋_GBK" w:cs="Times New Roman"/>
                <w:szCs w:val="21"/>
              </w:rPr>
              <w:t>）</w:t>
            </w:r>
          </w:p>
        </w:tc>
        <w:tc>
          <w:tcPr>
            <w:tcW w:w="4948" w:type="dxa"/>
            <w:vAlign w:val="center"/>
          </w:tcPr>
          <w:p>
            <w:pPr>
              <w:snapToGrid w:val="0"/>
              <w:spacing w:line="400" w:lineRule="exact"/>
              <w:rPr>
                <w:rFonts w:ascii="方正仿宋_GBK" w:hAnsi="仿宋" w:eastAsia="方正仿宋_GBK" w:cs="Times New Roman"/>
                <w:szCs w:val="21"/>
              </w:rPr>
            </w:pPr>
            <w:r>
              <w:rPr>
                <w:rFonts w:hint="eastAsia" w:ascii="仿宋" w:hAnsi="仿宋" w:eastAsia="仿宋" w:cs="仿宋"/>
                <w:szCs w:val="21"/>
              </w:rPr>
              <w:t>1</w:t>
            </w:r>
            <w:r>
              <w:rPr>
                <w:rFonts w:hint="eastAsia" w:ascii="方正仿宋_GBK" w:hAnsi="仿宋" w:eastAsia="方正仿宋_GBK" w:cs="Times New Roman"/>
                <w:szCs w:val="21"/>
              </w:rPr>
              <w:t>.供应商提供书面声明（见格式文件）</w:t>
            </w:r>
          </w:p>
          <w:p>
            <w:pPr>
              <w:snapToGrid w:val="0"/>
              <w:spacing w:line="400" w:lineRule="exact"/>
              <w:rPr>
                <w:rFonts w:ascii="方正仿宋_GBK" w:hAnsi="宋体" w:eastAsia="方正仿宋_GBK" w:cs="Times New Roman"/>
                <w:szCs w:val="21"/>
              </w:rPr>
            </w:pPr>
            <w:r>
              <w:rPr>
                <w:rFonts w:hint="eastAsia" w:ascii="仿宋" w:hAnsi="仿宋" w:eastAsia="仿宋" w:cs="仿宋"/>
                <w:szCs w:val="21"/>
              </w:rPr>
              <w:t>2.</w:t>
            </w:r>
            <w:r>
              <w:rPr>
                <w:rFonts w:hint="eastAsia" w:ascii="方正仿宋_GBK" w:hAnsi="仿宋" w:eastAsia="方正仿宋_GBK" w:cs="Times New Roman"/>
                <w:b/>
                <w:szCs w:val="21"/>
              </w:rPr>
              <w:t>供应商提供 “信用中国”网站(www.creditchina.gov.cn)、"中国政府采购网"(www.ccgp.gov.cn)等渠道查询供应商信用记录（注</w:t>
            </w:r>
            <w:r>
              <w:rPr>
                <w:rFonts w:ascii="Calibri" w:hAnsi="Calibri" w:eastAsia="方正仿宋_GBK" w:cs="Calibri"/>
                <w:b/>
                <w:szCs w:val="21"/>
              </w:rPr>
              <w:t>②</w:t>
            </w:r>
            <w:r>
              <w:rPr>
                <w:rFonts w:hint="eastAsia" w:ascii="方正仿宋_GBK" w:hAnsi="仿宋" w:eastAsia="方正仿宋_GBK" w:cs="Times New Roman"/>
                <w:b/>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szCs w:val="21"/>
              </w:rPr>
            </w:pPr>
          </w:p>
        </w:tc>
        <w:tc>
          <w:tcPr>
            <w:tcW w:w="2825" w:type="dxa"/>
            <w:vAlign w:val="center"/>
          </w:tcPr>
          <w:p>
            <w:pPr>
              <w:snapToGrid w:val="0"/>
              <w:spacing w:line="400" w:lineRule="exact"/>
              <w:rPr>
                <w:rFonts w:ascii="方正仿宋_GBK" w:hAnsi="宋体" w:eastAsia="方正仿宋_GBK" w:cs="Times New Roman"/>
                <w:szCs w:val="21"/>
              </w:rPr>
            </w:pPr>
            <w:r>
              <w:rPr>
                <w:rFonts w:hint="eastAsia" w:ascii="方正仿宋_GBK" w:hAnsi="宋体" w:eastAsia="方正仿宋_GBK" w:cs="Times New Roman"/>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特定资格条件</w:t>
            </w:r>
          </w:p>
        </w:tc>
        <w:tc>
          <w:tcPr>
            <w:tcW w:w="4948"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仿宋" w:eastAsia="方正仿宋_GBK" w:cs="Times New Roman"/>
                <w:szCs w:val="21"/>
              </w:rPr>
              <w:t>按“第一篇三、供应商资格要求（二）特定资格要求的要求提交（如果有）。</w:t>
            </w:r>
          </w:p>
        </w:tc>
      </w:tr>
    </w:tbl>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sz w:val="24"/>
          <w:szCs w:val="24"/>
        </w:rPr>
      </w:pPr>
      <w:r>
        <w:rPr>
          <w:rFonts w:ascii="Calibri" w:hAnsi="Calibri" w:eastAsia="方正仿宋_GBK" w:cs="Calibri"/>
          <w:sz w:val="24"/>
          <w:szCs w:val="24"/>
        </w:rPr>
        <w:t>①</w:t>
      </w:r>
      <w:r>
        <w:rPr>
          <w:rFonts w:hint="eastAsia" w:ascii="方正仿宋_GBK" w:hAnsi="宋体" w:eastAsia="方正仿宋_GBK" w:cs="Times New Roman"/>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sz w:val="24"/>
          <w:szCs w:val="24"/>
        </w:rPr>
      </w:pPr>
      <w:r>
        <w:rPr>
          <w:rFonts w:ascii="方正仿宋_GBK" w:hAnsi="宋体" w:eastAsia="方正仿宋_GBK" w:cs="Times New Roman"/>
          <w:sz w:val="24"/>
          <w:szCs w:val="24"/>
        </w:rPr>
        <w:t>②</w:t>
      </w:r>
      <w:r>
        <w:rPr>
          <w:rFonts w:hint="eastAsia" w:ascii="方正仿宋_GBK" w:hAnsi="宋体" w:eastAsia="方正仿宋_GBK" w:cs="Times New Roman"/>
          <w:sz w:val="24"/>
          <w:szCs w:val="24"/>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szCs w:val="21"/>
              </w:rPr>
            </w:pPr>
            <w:r>
              <w:rPr>
                <w:rFonts w:hint="eastAsia" w:ascii="方正仿宋_GBK" w:hAnsi="宋体" w:eastAsia="方正仿宋_GBK" w:cs="Times New Roman"/>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1</w:t>
            </w:r>
          </w:p>
        </w:tc>
        <w:tc>
          <w:tcPr>
            <w:tcW w:w="1457" w:type="dxa"/>
            <w:vMerge w:val="restart"/>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有效性审查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响应文件签署</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szCs w:val="21"/>
              </w:rPr>
            </w:pP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rPr>
              <w:t>报价唯一</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只能在预算金额和最高限价内报价，</w:t>
            </w:r>
            <w:r>
              <w:rPr>
                <w:rFonts w:hint="eastAsia" w:ascii="方正仿宋_GBK" w:hAnsi="宋体" w:eastAsia="方正仿宋_GBK" w:cs="Times New Roman"/>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2</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完整性审查</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3</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服务部分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4</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商务部分</w:t>
            </w:r>
          </w:p>
        </w:tc>
        <w:tc>
          <w:tcPr>
            <w:tcW w:w="1984"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szCs w:val="21"/>
              </w:rPr>
            </w:pPr>
            <w:r>
              <w:rPr>
                <w:rFonts w:hint="eastAsia" w:ascii="方正仿宋_GBK" w:hAnsi="宋体" w:eastAsia="方正仿宋_GBK" w:cs="Times New Roman"/>
                <w:szCs w:val="21"/>
              </w:rPr>
              <w:t>5</w:t>
            </w:r>
          </w:p>
        </w:tc>
        <w:tc>
          <w:tcPr>
            <w:tcW w:w="1457"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rPr>
              <w:t>响应有效期</w:t>
            </w:r>
          </w:p>
        </w:tc>
        <w:tc>
          <w:tcPr>
            <w:tcW w:w="1984" w:type="dxa"/>
            <w:vAlign w:val="center"/>
          </w:tcPr>
          <w:p>
            <w:pPr>
              <w:snapToGrid w:val="0"/>
              <w:spacing w:line="400" w:lineRule="exact"/>
              <w:jc w:val="left"/>
              <w:rPr>
                <w:rFonts w:ascii="方正仿宋_GBK" w:hAnsi="宋体" w:eastAsia="方正仿宋_GBK" w:cs="Times New Roman"/>
                <w:szCs w:val="21"/>
                <w:lang w:val="zh-CN"/>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文件内容</w:t>
            </w:r>
          </w:p>
        </w:tc>
        <w:tc>
          <w:tcPr>
            <w:tcW w:w="5409" w:type="dxa"/>
            <w:vAlign w:val="center"/>
          </w:tcPr>
          <w:p>
            <w:pPr>
              <w:snapToGrid w:val="0"/>
              <w:spacing w:line="400" w:lineRule="exact"/>
              <w:jc w:val="left"/>
              <w:rPr>
                <w:rFonts w:ascii="方正仿宋_GBK" w:hAnsi="宋体" w:eastAsia="方正仿宋_GBK" w:cs="Times New Roman"/>
                <w:szCs w:val="21"/>
              </w:rPr>
            </w:pPr>
            <w:r>
              <w:rPr>
                <w:rFonts w:hint="eastAsia" w:ascii="方正仿宋_GBK" w:hAnsi="宋体" w:eastAsia="方正仿宋_GBK" w:cs="Times New Roman"/>
                <w:szCs w:val="21"/>
                <w:lang w:val="zh-CN"/>
              </w:rPr>
              <w:t>响应</w:t>
            </w:r>
            <w:r>
              <w:rPr>
                <w:rFonts w:hint="eastAsia" w:ascii="方正仿宋_GBK" w:hAnsi="宋体" w:eastAsia="方正仿宋_GBK" w:cs="Times New Roman"/>
                <w:szCs w:val="21"/>
              </w:rPr>
              <w:t>有效期为响应截止日期后90天内</w:t>
            </w:r>
          </w:p>
        </w:tc>
      </w:tr>
    </w:tbl>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sz w:val="24"/>
          <w:szCs w:val="24"/>
        </w:rPr>
        <w:t>已提交响应文件</w:t>
      </w:r>
      <w:r>
        <w:rPr>
          <w:rFonts w:hint="eastAsia" w:ascii="方正仿宋_GBK" w:hAnsi="宋体" w:eastAsia="方正仿宋_GBK" w:cs="Times New Roman"/>
          <w:sz w:val="24"/>
          <w:szCs w:val="24"/>
        </w:rPr>
        <w:t>但未在规定时间内进行最后报价</w:t>
      </w:r>
      <w:r>
        <w:rPr>
          <w:rFonts w:ascii="方正仿宋_GBK" w:hAnsi="宋体" w:eastAsia="方正仿宋_GBK" w:cs="Times New Roman"/>
          <w:sz w:val="24"/>
          <w:szCs w:val="24"/>
        </w:rPr>
        <w:t>的供应商，</w:t>
      </w:r>
      <w:r>
        <w:rPr>
          <w:rFonts w:hint="eastAsia" w:ascii="方正仿宋_GBK" w:hAnsi="宋体" w:eastAsia="方正仿宋_GBK" w:cs="Times New Roman"/>
          <w:sz w:val="24"/>
          <w:szCs w:val="24"/>
        </w:rPr>
        <w:t>视为放弃最后报价，以供应商响应文件中的报价为准。</w:t>
      </w:r>
    </w:p>
    <w:p>
      <w:pPr>
        <w:pStyle w:val="3"/>
        <w:spacing w:line="240" w:lineRule="auto"/>
        <w:rPr>
          <w:rFonts w:ascii="微软雅黑" w:hAnsi="微软雅黑" w:eastAsia="微软雅黑" w:cs="微软雅黑"/>
          <w:sz w:val="24"/>
          <w:szCs w:val="24"/>
        </w:rPr>
      </w:pPr>
      <w:bookmarkStart w:id="46" w:name="_Toc403569781"/>
      <w:bookmarkStart w:id="47" w:name="_Toc28776"/>
      <w:bookmarkStart w:id="48" w:name="_Toc21"/>
      <w:bookmarkStart w:id="49" w:name="_Toc102227320"/>
      <w:bookmarkStart w:id="50" w:name="_Toc342913394"/>
      <w:r>
        <w:rPr>
          <w:rFonts w:hint="eastAsia" w:ascii="微软雅黑" w:hAnsi="微软雅黑" w:eastAsia="微软雅黑" w:cs="微软雅黑"/>
          <w:sz w:val="24"/>
          <w:szCs w:val="24"/>
        </w:rPr>
        <w:t>五、评审依据</w:t>
      </w:r>
      <w:bookmarkEnd w:id="46"/>
      <w:bookmarkEnd w:id="47"/>
      <w:bookmarkEnd w:id="48"/>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ascii="微软雅黑" w:hAnsi="微软雅黑" w:eastAsia="微软雅黑" w:cs="微软雅黑"/>
          <w:sz w:val="24"/>
          <w:szCs w:val="24"/>
        </w:rPr>
      </w:pPr>
      <w:bookmarkStart w:id="51" w:name="_Toc29340"/>
      <w:bookmarkStart w:id="52" w:name="_Toc403569782"/>
      <w:bookmarkStart w:id="53" w:name="_Toc12240"/>
      <w:r>
        <w:rPr>
          <w:rFonts w:hint="eastAsia" w:ascii="微软雅黑" w:hAnsi="微软雅黑" w:eastAsia="微软雅黑" w:cs="微软雅黑"/>
          <w:sz w:val="24"/>
          <w:szCs w:val="24"/>
        </w:rPr>
        <w:t>六、成交</w:t>
      </w:r>
      <w:bookmarkEnd w:id="49"/>
      <w:r>
        <w:rPr>
          <w:rFonts w:hint="eastAsia" w:ascii="微软雅黑" w:hAnsi="微软雅黑" w:eastAsia="微软雅黑" w:cs="微软雅黑"/>
          <w:sz w:val="24"/>
          <w:szCs w:val="24"/>
        </w:rPr>
        <w:t>原则</w:t>
      </w:r>
      <w:bookmarkEnd w:id="50"/>
      <w:bookmarkEnd w:id="51"/>
      <w:bookmarkEnd w:id="52"/>
      <w:bookmarkEnd w:id="53"/>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（一）评审办法</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3.成交价格=成交供应商的最后报价</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（二）评审细则：</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资格符合性检查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3.若同一</w:t>
      </w:r>
      <w:r>
        <w:rPr>
          <w:rFonts w:ascii="方正仿宋_GBK" w:hAnsi="宋体" w:eastAsia="方正仿宋_GBK" w:cs="Times New Roman"/>
          <w:sz w:val="24"/>
          <w:szCs w:val="24"/>
        </w:rPr>
        <w:t>合同项</w:t>
      </w:r>
      <w:r>
        <w:rPr>
          <w:rFonts w:hint="eastAsia" w:ascii="方正仿宋_GBK" w:hAnsi="宋体" w:eastAsia="方正仿宋_GBK" w:cs="Times New Roman"/>
          <w:sz w:val="24"/>
          <w:szCs w:val="24"/>
        </w:rPr>
        <w:t>（分包）</w:t>
      </w:r>
      <w:r>
        <w:rPr>
          <w:rFonts w:ascii="方正仿宋_GBK" w:hAnsi="宋体" w:eastAsia="方正仿宋_GBK" w:cs="Times New Roman"/>
          <w:sz w:val="24"/>
          <w:szCs w:val="24"/>
        </w:rPr>
        <w:t>下</w:t>
      </w:r>
      <w:r>
        <w:rPr>
          <w:rFonts w:hint="eastAsia" w:ascii="方正仿宋_GBK" w:hAnsi="宋体" w:eastAsia="方正仿宋_GBK" w:cs="Times New Roman"/>
          <w:sz w:val="24"/>
          <w:szCs w:val="24"/>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sz w:val="24"/>
          <w:szCs w:val="24"/>
        </w:rPr>
      </w:pPr>
      <w:r>
        <w:rPr>
          <w:rFonts w:hint="eastAsia" w:ascii="方正仿宋_GBK" w:hAnsi="宋体" w:eastAsia="方正仿宋_GBK" w:cs="Times New Roman"/>
          <w:b/>
          <w:sz w:val="24"/>
          <w:szCs w:val="24"/>
        </w:rPr>
        <w:t>4.成交供应商的确定：</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sz w:val="24"/>
          <w:szCs w:val="24"/>
        </w:rPr>
      </w:pPr>
      <w:r>
        <w:rPr>
          <w:rFonts w:hint="eastAsia" w:ascii="方正仿宋_GBK" w:hAnsi="宋体" w:eastAsia="方正仿宋_GBK" w:cs="Times New Roman"/>
          <w:b/>
          <w:sz w:val="24"/>
          <w:szCs w:val="24"/>
        </w:rPr>
        <w:t>5.成交供应商的变更</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6.</w:t>
      </w:r>
      <w:r>
        <w:rPr>
          <w:rFonts w:hint="eastAsia" w:ascii="方正仿宋_GBK" w:hAnsi="宋体" w:eastAsia="方正仿宋_GBK"/>
          <w:b/>
          <w:sz w:val="24"/>
          <w:szCs w:val="24"/>
        </w:rPr>
        <w:t xml:space="preserve"> 采购终止</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cs="Times New Roman"/>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（2）</w:t>
      </w:r>
      <w:r>
        <w:rPr>
          <w:rFonts w:hint="eastAsia" w:ascii="方正仿宋_GBK" w:hAnsi="宋体" w:eastAsia="方正仿宋_GBK" w:cs="Times New Roman"/>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sz w:val="24"/>
          <w:szCs w:val="24"/>
        </w:rPr>
      </w:pPr>
      <w:r>
        <w:rPr>
          <w:rFonts w:hint="eastAsia" w:ascii="方正仿宋_GBK" w:hAnsi="宋体" w:eastAsia="方正仿宋_GBK"/>
          <w:sz w:val="24"/>
          <w:szCs w:val="24"/>
        </w:rPr>
        <w:t>（3）</w:t>
      </w:r>
      <w:r>
        <w:rPr>
          <w:rFonts w:hint="eastAsia" w:ascii="方正仿宋_GBK" w:hAnsi="宋体" w:eastAsia="方正仿宋_GBK" w:cs="Times New Roman"/>
          <w:sz w:val="24"/>
          <w:szCs w:val="24"/>
        </w:rPr>
        <w:t>在采购过程中符合竞争要求的供应商或者报价未超过采购预算的供应商不足3家的，</w:t>
      </w:r>
      <w:r>
        <w:rPr>
          <w:rFonts w:hint="eastAsia" w:ascii="方正仿宋_GBK" w:hAnsi="宋体" w:eastAsia="方正仿宋_GBK"/>
          <w:sz w:val="24"/>
          <w:szCs w:val="24"/>
        </w:rPr>
        <w:t>但《医院采购管理办法（试行）》第二十三条第一款（五）规定的情形除外。</w:t>
      </w:r>
      <w:r>
        <w:rPr>
          <w:rFonts w:hint="eastAsia" w:ascii="方正仿宋_GBK" w:hAnsi="宋体" w:eastAsia="方正仿宋_GBK" w:cs="Times New Roman"/>
          <w:sz w:val="24"/>
          <w:szCs w:val="24"/>
        </w:rPr>
        <w:t>。</w:t>
      </w:r>
    </w:p>
    <w:p>
      <w:pPr>
        <w:pStyle w:val="3"/>
        <w:spacing w:line="240" w:lineRule="auto"/>
        <w:rPr>
          <w:rFonts w:ascii="微软雅黑" w:hAnsi="微软雅黑" w:eastAsia="微软雅黑" w:cs="微软雅黑"/>
          <w:sz w:val="24"/>
          <w:szCs w:val="24"/>
        </w:rPr>
      </w:pPr>
      <w:bookmarkStart w:id="54" w:name="_Toc3212"/>
      <w:bookmarkStart w:id="55" w:name="_Toc342913395"/>
      <w:bookmarkStart w:id="56" w:name="_Toc403569783"/>
      <w:bookmarkStart w:id="57" w:name="_Toc102227321"/>
      <w:bookmarkStart w:id="58" w:name="_Toc45"/>
      <w:r>
        <w:rPr>
          <w:rFonts w:hint="eastAsia" w:ascii="微软雅黑" w:hAnsi="微软雅黑" w:eastAsia="微软雅黑" w:cs="微软雅黑"/>
          <w:sz w:val="24"/>
          <w:szCs w:val="24"/>
        </w:rPr>
        <w:t>七、成交通知</w:t>
      </w:r>
      <w:bookmarkEnd w:id="54"/>
      <w:bookmarkEnd w:id="55"/>
      <w:bookmarkEnd w:id="56"/>
      <w:bookmarkEnd w:id="57"/>
      <w:bookmarkEnd w:id="58"/>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2.接到采购结果通知后30天内必须来医院完善合同相关手续，逾期视为自动放弃供应商资格。</w:t>
      </w:r>
    </w:p>
    <w:p>
      <w:pPr>
        <w:pStyle w:val="3"/>
        <w:spacing w:line="240" w:lineRule="auto"/>
        <w:rPr>
          <w:rFonts w:ascii="微软雅黑" w:hAnsi="微软雅黑" w:eastAsia="微软雅黑" w:cs="微软雅黑"/>
          <w:sz w:val="24"/>
          <w:szCs w:val="24"/>
        </w:rPr>
      </w:pPr>
      <w:bookmarkStart w:id="59" w:name="_Toc17413"/>
      <w:bookmarkStart w:id="60" w:name="_Toc403569784"/>
      <w:bookmarkStart w:id="61" w:name="_Toc22422"/>
      <w:r>
        <w:rPr>
          <w:rFonts w:hint="eastAsia" w:ascii="微软雅黑" w:hAnsi="微软雅黑" w:eastAsia="微软雅黑" w:cs="微软雅黑"/>
          <w:sz w:val="24"/>
          <w:szCs w:val="24"/>
        </w:rPr>
        <w:t>八、关于质疑和投诉</w:t>
      </w:r>
      <w:bookmarkEnd w:id="59"/>
      <w:bookmarkEnd w:id="60"/>
      <w:bookmarkEnd w:id="61"/>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（一）质疑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1、质疑时限、内容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④事实依据；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⑤必要的法律依据；</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⑥提出质疑的日期；</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2、质疑答复</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3、其他</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（三）投诉</w:t>
      </w:r>
    </w:p>
    <w:p>
      <w:pPr>
        <w:snapToGrid w:val="0"/>
        <w:spacing w:line="400" w:lineRule="exact"/>
        <w:ind w:firstLine="480" w:firstLineChars="200"/>
        <w:jc w:val="left"/>
        <w:rPr>
          <w:rFonts w:ascii="方正仿宋_GBK" w:hAnsi="宋体" w:eastAsia="方正仿宋_GBK" w:cs="Times New Roman"/>
          <w:sz w:val="24"/>
          <w:szCs w:val="24"/>
        </w:rPr>
      </w:pPr>
      <w:bookmarkStart w:id="62" w:name="_Toc102227322"/>
      <w:bookmarkStart w:id="63" w:name="_Toc6381"/>
      <w:bookmarkStart w:id="64" w:name="_Toc342913396"/>
      <w:bookmarkStart w:id="65" w:name="_Toc403569785"/>
      <w:r>
        <w:rPr>
          <w:rFonts w:hint="eastAsia" w:ascii="方正仿宋_GBK" w:hAnsi="宋体" w:eastAsia="方正仿宋_GBK" w:cs="Times New Roman"/>
          <w:sz w:val="24"/>
          <w:szCs w:val="24"/>
        </w:rPr>
        <w:t>供应商对医院的答复不满意，或者医院未在规定时间内答复的，可在答复期满后15个工作日内按有关规定，向院纪检部门投诉。</w:t>
      </w:r>
    </w:p>
    <w:p>
      <w:pPr>
        <w:pStyle w:val="3"/>
        <w:spacing w:line="240" w:lineRule="auto"/>
        <w:rPr>
          <w:rFonts w:ascii="微软雅黑" w:hAnsi="微软雅黑" w:eastAsia="微软雅黑" w:cs="微软雅黑"/>
          <w:sz w:val="24"/>
          <w:szCs w:val="24"/>
        </w:rPr>
      </w:pPr>
      <w:bookmarkStart w:id="66" w:name="_Toc588"/>
      <w:r>
        <w:rPr>
          <w:rFonts w:hint="eastAsia" w:ascii="微软雅黑" w:hAnsi="微软雅黑" w:eastAsia="微软雅黑" w:cs="微软雅黑"/>
          <w:sz w:val="24"/>
          <w:szCs w:val="24"/>
        </w:rPr>
        <w:t>九、签订</w:t>
      </w:r>
      <w:bookmarkEnd w:id="62"/>
      <w:r>
        <w:rPr>
          <w:rFonts w:hint="eastAsia" w:ascii="微软雅黑" w:hAnsi="微软雅黑" w:eastAsia="微软雅黑" w:cs="微软雅黑"/>
          <w:sz w:val="24"/>
          <w:szCs w:val="24"/>
        </w:rPr>
        <w:t>合同</w:t>
      </w:r>
      <w:bookmarkEnd w:id="63"/>
      <w:bookmarkEnd w:id="64"/>
      <w:bookmarkEnd w:id="65"/>
      <w:bookmarkEnd w:id="66"/>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5、除不可抗力等因素外，成交通知书发出后，采购人改变成交结果，或者成交供应商拒绝签订政府采购合同的，应当承担相应的法律责任。</w:t>
      </w:r>
    </w:p>
    <w:p>
      <w:pPr>
        <w:pStyle w:val="3"/>
        <w:spacing w:line="240" w:lineRule="auto"/>
        <w:rPr>
          <w:rFonts w:ascii="微软雅黑" w:hAnsi="微软雅黑" w:eastAsia="微软雅黑" w:cs="微软雅黑"/>
          <w:sz w:val="24"/>
          <w:szCs w:val="24"/>
        </w:rPr>
      </w:pPr>
      <w:bookmarkStart w:id="67" w:name="_Toc29479"/>
      <w:bookmarkStart w:id="68" w:name="_Toc15659"/>
      <w:bookmarkStart w:id="69" w:name="_Toc4105"/>
      <w:r>
        <w:rPr>
          <w:rFonts w:hint="eastAsia" w:ascii="微软雅黑" w:hAnsi="微软雅黑" w:eastAsia="微软雅黑" w:cs="微软雅黑"/>
          <w:sz w:val="24"/>
          <w:szCs w:val="24"/>
        </w:rPr>
        <w:t>十、其他</w:t>
      </w:r>
      <w:bookmarkEnd w:id="67"/>
      <w:bookmarkEnd w:id="68"/>
      <w:bookmarkEnd w:id="69"/>
    </w:p>
    <w:p>
      <w:pPr>
        <w:snapToGrid w:val="0"/>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napToGrid w:val="0"/>
        <w:spacing w:line="400" w:lineRule="exact"/>
        <w:ind w:firstLine="480" w:firstLineChars="200"/>
        <w:jc w:val="left"/>
        <w:rPr>
          <w:rFonts w:ascii="方正仿宋_GBK" w:hAnsi="宋体" w:eastAsia="方正仿宋_GBK" w:cs="Times New Roman"/>
          <w:sz w:val="24"/>
          <w:szCs w:val="24"/>
        </w:rPr>
      </w:pPr>
    </w:p>
    <w:p>
      <w:pPr>
        <w:spacing w:line="390" w:lineRule="exact"/>
        <w:rPr>
          <w:rFonts w:ascii="方正仿宋_GBK" w:hAnsi="宋体" w:eastAsia="方正仿宋_GBK" w:cs="Times New Roman"/>
          <w:b/>
          <w:sz w:val="24"/>
          <w:szCs w:val="24"/>
        </w:rPr>
      </w:pPr>
    </w:p>
    <w:p>
      <w:pPr>
        <w:pStyle w:val="2"/>
        <w:numPr>
          <w:ilvl w:val="0"/>
          <w:numId w:val="13"/>
        </w:numPr>
        <w:jc w:val="center"/>
        <w:rPr>
          <w:rFonts w:ascii="微软雅黑" w:hAnsi="微软雅黑" w:eastAsia="微软雅黑" w:cs="微软雅黑"/>
          <w:b/>
          <w:bCs/>
          <w:sz w:val="36"/>
          <w:szCs w:val="36"/>
        </w:rPr>
      </w:pPr>
      <w:bookmarkStart w:id="70" w:name="_Toc6951"/>
      <w:bookmarkStart w:id="71" w:name="_Toc12789058"/>
      <w:r>
        <w:rPr>
          <w:rFonts w:hint="eastAsia" w:ascii="微软雅黑" w:hAnsi="微软雅黑" w:eastAsia="微软雅黑" w:cs="微软雅黑"/>
          <w:b/>
          <w:bCs/>
          <w:sz w:val="36"/>
          <w:szCs w:val="36"/>
        </w:rPr>
        <w:t>项目服务需求</w:t>
      </w:r>
      <w:bookmarkEnd w:id="70"/>
    </w:p>
    <w:p>
      <w:pPr>
        <w:pStyle w:val="3"/>
        <w:keepNext/>
        <w:keepLines/>
        <w:pageBreakBefore w:val="0"/>
        <w:widowControl w:val="0"/>
        <w:numPr>
          <w:ilvl w:val="0"/>
          <w:numId w:val="14"/>
        </w:numPr>
        <w:kinsoku/>
        <w:wordWrap/>
        <w:overflowPunct/>
        <w:topLinePunct w:val="0"/>
        <w:autoSpaceDE/>
        <w:autoSpaceDN/>
        <w:bidi w:val="0"/>
        <w:adjustRightInd/>
        <w:snapToGrid/>
        <w:spacing w:line="240" w:lineRule="auto"/>
        <w:ind w:left="482" w:hanging="482"/>
        <w:textAlignment w:val="auto"/>
        <w:rPr>
          <w:rFonts w:hint="eastAsia" w:ascii="微软雅黑" w:hAnsi="微软雅黑" w:eastAsia="微软雅黑" w:cs="微软雅黑"/>
          <w:sz w:val="24"/>
          <w:szCs w:val="24"/>
        </w:rPr>
      </w:pPr>
      <w:bookmarkStart w:id="72" w:name="_Toc769"/>
      <w:r>
        <w:rPr>
          <w:rFonts w:hint="eastAsia" w:ascii="微软雅黑" w:hAnsi="微软雅黑" w:eastAsia="微软雅黑" w:cs="微软雅黑"/>
          <w:sz w:val="24"/>
          <w:szCs w:val="24"/>
        </w:rPr>
        <w:t>项目一览表</w:t>
      </w:r>
      <w:bookmarkEnd w:id="72"/>
    </w:p>
    <w:tbl>
      <w:tblPr>
        <w:tblStyle w:val="58"/>
        <w:tblpPr w:leftFromText="180" w:rightFromText="180" w:vertAnchor="text" w:tblpXSpec="center" w:tblpY="1"/>
        <w:tblOverlap w:val="never"/>
        <w:tblW w:w="8915"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项目名称</w:t>
            </w:r>
          </w:p>
        </w:tc>
        <w:tc>
          <w:tcPr>
            <w:tcW w:w="2150" w:type="dxa"/>
          </w:tcPr>
          <w:p>
            <w:pPr>
              <w:spacing w:line="400" w:lineRule="exact"/>
              <w:ind w:left="630" w:hanging="630" w:hangingChars="300"/>
              <w:rPr>
                <w:rFonts w:ascii="方正仿宋_GBK" w:hAnsi="宋体" w:eastAsia="方正仿宋_GBK"/>
                <w:szCs w:val="21"/>
              </w:rPr>
            </w:pPr>
            <w:r>
              <w:rPr>
                <w:rFonts w:hint="eastAsia" w:ascii="方正仿宋_GBK" w:hAnsi="宋体" w:eastAsia="方正仿宋_GBK"/>
                <w:szCs w:val="21"/>
              </w:rPr>
              <w:t>成交供应商数量（名）</w:t>
            </w:r>
          </w:p>
        </w:tc>
        <w:tc>
          <w:tcPr>
            <w:tcW w:w="122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最高限价</w:t>
            </w:r>
          </w:p>
          <w:p>
            <w:pPr>
              <w:spacing w:line="400" w:lineRule="exact"/>
              <w:rPr>
                <w:rFonts w:ascii="方正仿宋_GBK" w:hAnsi="宋体" w:eastAsia="方正仿宋_GBK"/>
                <w:szCs w:val="21"/>
              </w:rPr>
            </w:pPr>
            <w:r>
              <w:rPr>
                <w:rFonts w:hint="eastAsia" w:ascii="方正仿宋_GBK" w:hAnsi="宋体" w:eastAsia="方正仿宋_GBK"/>
                <w:szCs w:val="21"/>
              </w:rPr>
              <w:t>（万元）</w:t>
            </w:r>
          </w:p>
        </w:tc>
        <w:tc>
          <w:tcPr>
            <w:tcW w:w="2125"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临街门面招租</w:t>
            </w:r>
          </w:p>
        </w:tc>
        <w:tc>
          <w:tcPr>
            <w:tcW w:w="2150" w:type="dxa"/>
            <w:vAlign w:val="center"/>
          </w:tcPr>
          <w:p>
            <w:pPr>
              <w:spacing w:line="400" w:lineRule="exact"/>
              <w:ind w:firstLine="420" w:firstLineChars="200"/>
              <w:rPr>
                <w:rFonts w:ascii="方正仿宋_GBK" w:hAnsi="宋体" w:eastAsia="方正仿宋_GBK"/>
                <w:szCs w:val="21"/>
              </w:rPr>
            </w:pPr>
            <w:r>
              <w:rPr>
                <w:rFonts w:hint="eastAsia" w:ascii="方正仿宋_GBK" w:hAnsi="宋体" w:eastAsia="方正仿宋_GBK"/>
                <w:szCs w:val="21"/>
              </w:rPr>
              <w:t>2或者3</w:t>
            </w:r>
          </w:p>
        </w:tc>
        <w:tc>
          <w:tcPr>
            <w:tcW w:w="1225" w:type="dxa"/>
            <w:vAlign w:val="center"/>
          </w:tcPr>
          <w:p>
            <w:pPr>
              <w:spacing w:line="400" w:lineRule="exact"/>
              <w:jc w:val="center"/>
              <w:rPr>
                <w:rFonts w:ascii="方正仿宋_GBK" w:hAnsi="宋体" w:eastAsia="方正仿宋_GBK"/>
                <w:szCs w:val="21"/>
              </w:rPr>
            </w:pPr>
          </w:p>
        </w:tc>
        <w:tc>
          <w:tcPr>
            <w:tcW w:w="2125" w:type="dxa"/>
            <w:vAlign w:val="center"/>
          </w:tcPr>
          <w:p>
            <w:pPr>
              <w:spacing w:line="400" w:lineRule="exact"/>
              <w:rPr>
                <w:rFonts w:ascii="方正仿宋_GBK" w:hAnsi="宋体" w:eastAsia="方正仿宋_GBK"/>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ascii="方正仿宋_GBK" w:hAnsi="宋体" w:eastAsia="方正仿宋_GBK"/>
                <w:szCs w:val="21"/>
              </w:rPr>
            </w:pPr>
            <w:r>
              <w:rPr>
                <w:rFonts w:hint="eastAsia" w:ascii="方正仿宋_GBK" w:hAnsi="宋体" w:eastAsia="方正仿宋_GBK"/>
                <w:szCs w:val="21"/>
              </w:rPr>
              <w:t>租赁期限：</w:t>
            </w:r>
            <w:r>
              <w:rPr>
                <w:rFonts w:ascii="方正仿宋_GBK" w:hAnsi="宋体" w:eastAsia="方正仿宋_GBK"/>
                <w:szCs w:val="21"/>
              </w:rPr>
              <w:t xml:space="preserve"> </w:t>
            </w:r>
          </w:p>
        </w:tc>
        <w:tc>
          <w:tcPr>
            <w:tcW w:w="5500" w:type="dxa"/>
            <w:gridSpan w:val="3"/>
            <w:vAlign w:val="center"/>
          </w:tcPr>
          <w:p>
            <w:pPr>
              <w:spacing w:line="400" w:lineRule="exact"/>
              <w:ind w:firstLine="210" w:firstLineChars="100"/>
              <w:rPr>
                <w:rFonts w:hint="eastAsia" w:ascii="方正仿宋_GBK" w:hAnsi="宋体" w:eastAsia="方正仿宋_GBK"/>
                <w:szCs w:val="21"/>
              </w:rPr>
            </w:pPr>
            <w:r>
              <w:rPr>
                <w:rFonts w:hint="eastAsia" w:ascii="方正仿宋_GBK" w:hAnsi="宋体" w:eastAsia="方正仿宋_GBK"/>
                <w:szCs w:val="21"/>
              </w:rPr>
              <w:t>三年，合同一年一签。每年在上年基础上增加10%</w:t>
            </w:r>
          </w:p>
        </w:tc>
      </w:tr>
    </w:tbl>
    <w:p>
      <w:pPr>
        <w:rPr>
          <w:rFonts w:hint="eastAsia"/>
        </w:rPr>
      </w:pPr>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ascii="微软雅黑" w:hAnsi="微软雅黑" w:eastAsia="微软雅黑" w:cs="微软雅黑"/>
          <w:sz w:val="24"/>
          <w:szCs w:val="24"/>
        </w:rPr>
      </w:pPr>
      <w:bookmarkStart w:id="73" w:name="_Toc32069"/>
      <w:r>
        <w:rPr>
          <w:rFonts w:hint="eastAsia" w:ascii="方正仿宋_GBK" w:hAnsi="宋体" w:eastAsia="方正仿宋_GBK"/>
          <w:bCs/>
          <w:sz w:val="24"/>
          <w:szCs w:val="24"/>
        </w:rPr>
        <w:t>二、</w:t>
      </w:r>
      <w:r>
        <w:rPr>
          <w:rFonts w:hint="eastAsia" w:ascii="微软雅黑" w:hAnsi="微软雅黑" w:eastAsia="微软雅黑" w:cs="微软雅黑"/>
          <w:sz w:val="24"/>
          <w:szCs w:val="24"/>
        </w:rPr>
        <w:t>承租方须知</w:t>
      </w:r>
      <w:bookmarkEnd w:id="73"/>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所有门面均不得改变所租门面的建筑结构，不得损坏其设施。门面如需装修装饰应经院方同意后方可实施，其费用由承租方自行承担，承租方承诺在退租房屋时不得向院方提出索要其装修装饰费用，不能搬走的装修部分归院方所有。</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承租方在租用门面期间，如因特殊原因不能租用下去，应</w:t>
      </w:r>
      <w:r>
        <w:rPr>
          <w:rFonts w:hint="eastAsia" w:ascii="微软雅黑" w:hAnsi="微软雅黑" w:eastAsia="微软雅黑" w:cs="微软雅黑"/>
          <w:color w:val="auto"/>
          <w:sz w:val="24"/>
          <w:szCs w:val="28"/>
        </w:rPr>
        <w:t>提前3个月与院方协商停止租用，办理退租手续，同时将门面交回院方，承租方不得将所租门面私自转</w:t>
      </w:r>
      <w:r>
        <w:rPr>
          <w:rFonts w:hint="eastAsia" w:ascii="微软雅黑" w:hAnsi="微软雅黑" w:eastAsia="微软雅黑" w:cs="微软雅黑"/>
          <w:sz w:val="24"/>
          <w:szCs w:val="28"/>
        </w:rPr>
        <w:t>租给他人或收取转让费。承租方签本合同时所交纳的门面保证金不得私自转让给他人，本合同期满后，若承租方不愿续租，院方凭据无息退还保证金；除承租方外，任何人持保证金收据均不能退还门面保证金。</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承租方在租用该门面期间应守法经营，自行负责向税务、工商等部门交纳税费或其它费用，如有违法行为，一律与院方无关，一切后果由承租方负责承担。</w:t>
      </w:r>
    </w:p>
    <w:p>
      <w:pPr>
        <w:numPr>
          <w:ilvl w:val="0"/>
          <w:numId w:val="15"/>
        </w:numPr>
        <w:ind w:firstLine="480" w:firstLineChars="200"/>
        <w:rPr>
          <w:rFonts w:ascii="微软雅黑" w:hAnsi="微软雅黑" w:eastAsia="微软雅黑" w:cs="微软雅黑"/>
          <w:sz w:val="24"/>
          <w:szCs w:val="28"/>
        </w:rPr>
      </w:pPr>
      <w:r>
        <w:rPr>
          <w:rFonts w:hint="eastAsia" w:ascii="微软雅黑" w:hAnsi="微软雅黑" w:eastAsia="微软雅黑" w:cs="微软雅黑"/>
          <w:sz w:val="24"/>
          <w:szCs w:val="28"/>
        </w:rPr>
        <w:t>承租方要门前三包，防火防盗，不得使用电热器取暖、做饭等，如发生火灾，按《安全生产法》《消防法》等有关规定，自行承担法律责任。</w:t>
      </w:r>
    </w:p>
    <w:p>
      <w:pPr>
        <w:numPr>
          <w:ilvl w:val="0"/>
          <w:numId w:val="15"/>
        </w:numPr>
        <w:ind w:firstLine="480" w:firstLineChars="200"/>
        <w:rPr>
          <w:rFonts w:ascii="方正仿宋_GBK" w:hAnsi="宋体" w:eastAsia="方正仿宋_GBK" w:cs="Times New Roman"/>
          <w:bCs/>
          <w:sz w:val="24"/>
          <w:szCs w:val="24"/>
        </w:rPr>
      </w:pPr>
      <w:r>
        <w:rPr>
          <w:rFonts w:hint="eastAsia" w:ascii="微软雅黑" w:hAnsi="微软雅黑" w:eastAsia="微软雅黑" w:cs="微软雅黑"/>
          <w:sz w:val="24"/>
          <w:szCs w:val="28"/>
        </w:rPr>
        <w:t>承租方要爱护所租门面的全部设施，合同到期时，双方共同检查验收门面设施，如因使用不当或违反本合同规定造成损失，承租方按价赔偿或承担修理费用。</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6. 经营期间若发生下列情况，承租方承诺自行承担全部损失，院方对承租方不作任何经济补偿，本协议自然终止：</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（1）不可抗力因素如自然灾害等导致的毁损；</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（2）由于国家政策层面的原因需终止的；</w:t>
      </w:r>
    </w:p>
    <w:p>
      <w:pPr>
        <w:keepNext/>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outlineLvl w:val="0"/>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（3）由于上级主管部门明令禁止的原因等；</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（4）院方若提前收回门面应提前30天通知承租方。</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7、严禁承租方在租用的门面内经营医疗、美容、中西药品、茶园、卡厅和饮食业，否则属承租方违约，院方有权单方面解除本合同，并赔偿院方的损失，承租方无权提出异议。</w:t>
      </w:r>
    </w:p>
    <w:p>
      <w:pPr>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default" w:ascii="微软雅黑" w:hAnsi="微软雅黑" w:eastAsia="微软雅黑" w:cs="微软雅黑"/>
          <w:color w:val="auto"/>
          <w:sz w:val="24"/>
          <w:szCs w:val="28"/>
          <w:lang w:val="en-US" w:eastAsia="zh-CN"/>
        </w:rPr>
      </w:pPr>
      <w:r>
        <w:rPr>
          <w:rFonts w:hint="eastAsia" w:ascii="微软雅黑" w:hAnsi="微软雅黑" w:eastAsia="微软雅黑" w:cs="微软雅黑"/>
          <w:color w:val="auto"/>
          <w:sz w:val="24"/>
          <w:szCs w:val="28"/>
          <w:lang w:val="en-US" w:eastAsia="zh-CN"/>
        </w:rPr>
        <w:t>8、如上级有关政策规定，医院有用途时，随时收回门面，解除合同，互不补偿。</w:t>
      </w:r>
    </w:p>
    <w:p>
      <w:pPr>
        <w:pStyle w:val="2"/>
        <w:jc w:val="center"/>
        <w:rPr>
          <w:b/>
          <w:sz w:val="44"/>
          <w:szCs w:val="44"/>
        </w:rPr>
      </w:pPr>
      <w:bookmarkStart w:id="74" w:name="_Toc485108787"/>
      <w:bookmarkStart w:id="75" w:name="_Toc20659"/>
      <w:r>
        <w:rPr>
          <w:rFonts w:hint="eastAsia" w:ascii="微软雅黑" w:hAnsi="微软雅黑" w:eastAsia="微软雅黑" w:cs="微软雅黑"/>
          <w:b/>
          <w:sz w:val="36"/>
          <w:szCs w:val="36"/>
        </w:rPr>
        <w:t>第四篇  项目商务需求</w:t>
      </w:r>
      <w:bookmarkEnd w:id="71"/>
      <w:bookmarkEnd w:id="74"/>
      <w:bookmarkEnd w:id="75"/>
      <w:bookmarkStart w:id="76" w:name="_Toc11641055"/>
      <w:bookmarkStart w:id="77" w:name="_Toc12789059"/>
    </w:p>
    <w:p>
      <w:pPr>
        <w:pStyle w:val="3"/>
        <w:spacing w:line="240" w:lineRule="auto"/>
        <w:rPr>
          <w:rFonts w:ascii="微软雅黑" w:hAnsi="微软雅黑" w:eastAsia="微软雅黑" w:cs="微软雅黑"/>
          <w:sz w:val="24"/>
          <w:szCs w:val="24"/>
        </w:rPr>
      </w:pPr>
      <w:bookmarkStart w:id="78" w:name="_Toc485108788"/>
      <w:bookmarkStart w:id="79" w:name="_Toc18605"/>
      <w:bookmarkStart w:id="80" w:name="_Toc344475121"/>
      <w:r>
        <w:rPr>
          <w:rFonts w:hint="eastAsia" w:ascii="微软雅黑" w:hAnsi="微软雅黑" w:eastAsia="微软雅黑" w:cs="微软雅黑"/>
          <w:sz w:val="24"/>
          <w:szCs w:val="24"/>
        </w:rPr>
        <w:t>一、租赁期限、地点及验收方式</w:t>
      </w:r>
      <w:bookmarkEnd w:id="78"/>
      <w:bookmarkEnd w:id="79"/>
    </w:p>
    <w:p>
      <w:pPr>
        <w:spacing w:line="400" w:lineRule="exact"/>
        <w:ind w:firstLine="480" w:firstLineChars="200"/>
        <w:rPr>
          <w:rFonts w:ascii="仿宋" w:hAnsi="仿宋" w:eastAsia="仿宋" w:cs="仿宋"/>
          <w:color w:val="92D050"/>
          <w:sz w:val="24"/>
          <w:szCs w:val="24"/>
        </w:rPr>
      </w:pPr>
      <w:r>
        <w:rPr>
          <w:rFonts w:hint="eastAsia" w:ascii="方正仿宋_GBK" w:hAnsi="宋体" w:eastAsia="方正仿宋_GBK" w:cs="Times New Roman"/>
          <w:color w:val="auto"/>
          <w:sz w:val="24"/>
          <w:szCs w:val="24"/>
        </w:rPr>
        <w:t>（一）租赁期限：</w:t>
      </w:r>
      <w:r>
        <w:rPr>
          <w:rFonts w:hint="eastAsia" w:ascii="方正仿宋_GBK" w:hAnsi="宋体" w:eastAsia="方正仿宋_GBK" w:cs="Times New Roman"/>
          <w:sz w:val="24"/>
          <w:szCs w:val="24"/>
        </w:rPr>
        <w:t>期限三年，合同一年一签，门面租金在上年租金的基础上递增10%，如遇市场门面租金出现大的变动（涨到了10%以上的部分）双方再议。</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（二）招租地点：重庆医科大学附属永川医院（</w:t>
      </w:r>
      <w:r>
        <w:rPr>
          <w:rFonts w:hint="eastAsia" w:ascii="方正仿宋_GBK" w:hAnsi="宋体" w:eastAsia="方正仿宋_GBK"/>
          <w:sz w:val="24"/>
          <w:szCs w:val="24"/>
        </w:rPr>
        <w:t>重庆市永川区萱花路439号</w:t>
      </w:r>
      <w:r>
        <w:rPr>
          <w:rFonts w:hint="eastAsia" w:ascii="方正仿宋_GBK" w:hAnsi="宋体" w:eastAsia="方正仿宋_GBK" w:cs="Times New Roman"/>
          <w:sz w:val="24"/>
          <w:szCs w:val="24"/>
        </w:rPr>
        <w:t xml:space="preserve">） </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w:t>
      </w:r>
      <w:r>
        <w:rPr>
          <w:rFonts w:hint="eastAsia" w:ascii="方正仿宋_GBK" w:hAnsi="宋体" w:eastAsia="方正仿宋_GBK"/>
          <w:sz w:val="24"/>
          <w:szCs w:val="24"/>
        </w:rPr>
        <w:t>合同执行完成，由供应商提交验收申请后，采购人7个工作日内组织履约情况验收。</w:t>
      </w:r>
    </w:p>
    <w:bookmarkEnd w:id="80"/>
    <w:p>
      <w:pPr>
        <w:pStyle w:val="3"/>
        <w:spacing w:line="240" w:lineRule="auto"/>
        <w:rPr>
          <w:rFonts w:ascii="微软雅黑" w:hAnsi="微软雅黑" w:eastAsia="微软雅黑" w:cs="微软雅黑"/>
          <w:sz w:val="24"/>
          <w:szCs w:val="24"/>
        </w:rPr>
      </w:pPr>
      <w:bookmarkStart w:id="81" w:name="_Toc485108789"/>
      <w:bookmarkStart w:id="82" w:name="_Toc7971"/>
      <w:bookmarkStart w:id="83" w:name="_Toc485108790"/>
      <w:bookmarkStart w:id="84" w:name="_Toc344475122"/>
      <w:r>
        <w:rPr>
          <w:rFonts w:hint="eastAsia" w:ascii="微软雅黑" w:hAnsi="微软雅黑" w:eastAsia="微软雅黑" w:cs="微软雅黑"/>
          <w:sz w:val="24"/>
          <w:szCs w:val="24"/>
        </w:rPr>
        <w:t>二、质量保证及售后服务</w:t>
      </w:r>
      <w:bookmarkEnd w:id="81"/>
      <w:bookmarkEnd w:id="82"/>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（一）保证提供专人为本项目提供跟踪服务；</w:t>
      </w:r>
    </w:p>
    <w:p>
      <w:pPr>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（二）质量保证期过后，医院需要继续由原成交供应商和制造商提供售后服务的，成交供应商和制造商应以优惠价格提供售后服务。</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（三）投标人可根据自身实力，作更为优惠的售后服务承诺。</w:t>
      </w:r>
    </w:p>
    <w:p>
      <w:pPr>
        <w:pStyle w:val="3"/>
        <w:spacing w:line="240" w:lineRule="auto"/>
        <w:rPr>
          <w:rFonts w:ascii="微软雅黑" w:hAnsi="微软雅黑" w:eastAsia="微软雅黑" w:cs="微软雅黑"/>
          <w:sz w:val="24"/>
          <w:szCs w:val="24"/>
        </w:rPr>
      </w:pPr>
      <w:bookmarkStart w:id="85" w:name="_Toc24832"/>
      <w:r>
        <w:rPr>
          <w:rFonts w:hint="eastAsia" w:ascii="微软雅黑" w:hAnsi="微软雅黑" w:eastAsia="微软雅黑" w:cs="微软雅黑"/>
          <w:sz w:val="24"/>
          <w:szCs w:val="24"/>
        </w:rPr>
        <w:t>三、付款方式</w:t>
      </w:r>
      <w:bookmarkEnd w:id="83"/>
      <w:bookmarkEnd w:id="84"/>
      <w:bookmarkEnd w:id="85"/>
    </w:p>
    <w:p>
      <w:pPr>
        <w:snapToGrid w:val="0"/>
        <w:spacing w:line="400" w:lineRule="exact"/>
        <w:ind w:firstLine="480" w:firstLineChars="200"/>
        <w:rPr>
          <w:rFonts w:ascii="方正仿宋_GBK" w:hAnsi="宋体" w:eastAsia="方正仿宋_GBK" w:cs="宋体"/>
          <w:kern w:val="0"/>
          <w:sz w:val="24"/>
          <w:szCs w:val="24"/>
        </w:rPr>
      </w:pPr>
      <w:bookmarkStart w:id="86" w:name="_Toc485108791"/>
      <w:bookmarkStart w:id="87" w:name="_Toc403569793"/>
      <w:r>
        <w:rPr>
          <w:rFonts w:hint="eastAsia" w:ascii="方正仿宋_GBK" w:hAnsi="宋体" w:eastAsia="方正仿宋_GBK" w:cs="宋体"/>
          <w:kern w:val="0"/>
          <w:sz w:val="24"/>
          <w:szCs w:val="24"/>
        </w:rPr>
        <w:t>（一）履约保证金形式</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1.履约保证金形式：采用银行转账的形式缴纳履约保证金，通过银行转账方式直接划付到医院提供的以下银行账户，其中产生的手续费由成交供应商承担。</w:t>
      </w:r>
    </w:p>
    <w:p>
      <w:pPr>
        <w:snapToGrid w:val="0"/>
        <w:spacing w:line="400" w:lineRule="exact"/>
        <w:ind w:firstLine="480" w:firstLineChars="200"/>
        <w:rPr>
          <w:rFonts w:ascii="方正仿宋_GBK" w:hAnsi="宋体" w:eastAsia="方正仿宋_GBK" w:cs="宋体"/>
          <w:color w:val="92D050"/>
          <w:kern w:val="0"/>
          <w:sz w:val="24"/>
          <w:szCs w:val="24"/>
        </w:rPr>
      </w:pPr>
      <w:r>
        <w:rPr>
          <w:rFonts w:hint="eastAsia" w:ascii="方正仿宋_GBK" w:hAnsi="宋体" w:eastAsia="方正仿宋_GBK" w:cs="宋体"/>
          <w:kern w:val="0"/>
          <w:sz w:val="24"/>
          <w:szCs w:val="24"/>
        </w:rPr>
        <w:t>2.缴纳时间及金额：合同签订后</w:t>
      </w:r>
      <w:bookmarkEnd w:id="86"/>
      <w:bookmarkEnd w:id="87"/>
      <w:r>
        <w:rPr>
          <w:rFonts w:hint="eastAsia" w:ascii="方正仿宋_GBK" w:hAnsi="宋体" w:eastAsia="方正仿宋_GBK" w:cs="宋体"/>
          <w:kern w:val="0"/>
          <w:sz w:val="24"/>
          <w:szCs w:val="24"/>
        </w:rPr>
        <w:t>支付，1-9号门面的保证金为12500元，10号、11号门面保证金为3000元/间。</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（二）付款方式</w:t>
      </w:r>
    </w:p>
    <w:p>
      <w:pPr>
        <w:snapToGrid w:val="0"/>
        <w:spacing w:line="400" w:lineRule="exact"/>
        <w:ind w:firstLine="480" w:firstLineChars="200"/>
        <w:rPr>
          <w:rFonts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租金按季预交，上季度最后10日预交下季度租金至重庆医科大学附属永川医院财务科。</w:t>
      </w:r>
    </w:p>
    <w:p>
      <w:pPr>
        <w:pStyle w:val="3"/>
        <w:rPr>
          <w:rFonts w:ascii="微软雅黑" w:hAnsi="微软雅黑" w:eastAsia="微软雅黑" w:cs="微软雅黑"/>
          <w:sz w:val="24"/>
          <w:szCs w:val="24"/>
        </w:rPr>
      </w:pPr>
      <w:bookmarkStart w:id="88" w:name="_Toc2651"/>
      <w:r>
        <w:rPr>
          <w:rFonts w:hint="eastAsia" w:ascii="微软雅黑" w:hAnsi="微软雅黑" w:eastAsia="微软雅黑" w:cs="微软雅黑"/>
          <w:sz w:val="24"/>
          <w:szCs w:val="24"/>
        </w:rPr>
        <w:t>四、违约责任</w:t>
      </w:r>
      <w:bookmarkEnd w:id="88"/>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1.如成交供应商未按以上规定时间缴纳履约保证金，采购人将视其为不诚信行为，并作为无故弃标处理，取消其成交资格。</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2.应急抢险任务1小时内未到达现场，采购人当次有权委托其他单位进行的，产生的费用由服务单位承担，并按考核办法处违约金。</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3.合同签订后，服务单位无正当理由提出解除合同，采购人没收全额履约保证金，服务单位还应支付合同（暂定或固定）总价的30%作为违约金给采购人，并赔偿给采购人造成的其他损失。</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Times New Roman"/>
          <w:bCs/>
          <w:sz w:val="24"/>
          <w:szCs w:val="24"/>
        </w:rPr>
        <w:t>4.如承租方未按时交纳租金，属承租方违约，承租方应及时补缴租金，每逾期一天承租方按照月租金/30的标准支付逾期付款违约金，超过30天，院方有权单方解除本合同，承租方无权提出异议。</w:t>
      </w:r>
    </w:p>
    <w:p>
      <w:pPr>
        <w:keepNext/>
        <w:snapToGrid w:val="0"/>
        <w:spacing w:line="400" w:lineRule="exact"/>
        <w:ind w:firstLine="480" w:firstLineChars="200"/>
        <w:outlineLvl w:val="0"/>
        <w:rPr>
          <w:rFonts w:ascii="微软雅黑" w:hAnsi="微软雅黑" w:eastAsia="微软雅黑" w:cs="微软雅黑"/>
          <w:sz w:val="24"/>
          <w:szCs w:val="28"/>
        </w:rPr>
      </w:pPr>
      <w:r>
        <w:rPr>
          <w:rFonts w:hint="eastAsia" w:ascii="方正仿宋_GBK" w:hAnsi="宋体" w:eastAsia="方正仿宋_GBK" w:cs="Times New Roman"/>
          <w:bCs/>
          <w:sz w:val="24"/>
          <w:szCs w:val="24"/>
        </w:rPr>
        <w:t>5.承租方在租用的门面内经营医疗、美容、中西药品、茶园、卡厅和饮食业，属承租方违约，院方有权单方面解除本合同，并赔偿院方的损失，承租方无权提出异议。</w:t>
      </w:r>
    </w:p>
    <w:p>
      <w:pPr>
        <w:pStyle w:val="3"/>
        <w:rPr>
          <w:rFonts w:ascii="微软雅黑" w:hAnsi="微软雅黑" w:eastAsia="微软雅黑" w:cs="微软雅黑"/>
          <w:sz w:val="24"/>
          <w:szCs w:val="16"/>
        </w:rPr>
      </w:pPr>
      <w:bookmarkStart w:id="89" w:name="_Toc17767"/>
      <w:r>
        <w:rPr>
          <w:rFonts w:hint="eastAsia" w:ascii="微软雅黑" w:hAnsi="微软雅黑" w:eastAsia="微软雅黑" w:cs="微软雅黑"/>
          <w:sz w:val="24"/>
          <w:szCs w:val="16"/>
        </w:rPr>
        <w:t>五、合同终止</w:t>
      </w:r>
      <w:bookmarkEnd w:id="89"/>
    </w:p>
    <w:p>
      <w:pPr>
        <w:keepNext/>
        <w:snapToGrid w:val="0"/>
        <w:spacing w:line="400" w:lineRule="exact"/>
        <w:ind w:firstLine="480" w:firstLineChars="200"/>
        <w:outlineLvl w:val="0"/>
        <w:rPr>
          <w:rFonts w:hint="eastAsia" w:ascii="方正仿宋_GBK" w:hAnsi="宋体" w:eastAsia="方正仿宋_GBK" w:cs="Times New Roman"/>
          <w:bCs/>
          <w:sz w:val="24"/>
          <w:szCs w:val="24"/>
        </w:rPr>
      </w:pPr>
      <w:r>
        <w:rPr>
          <w:rFonts w:hint="eastAsia" w:ascii="方正仿宋_GBK" w:hAnsi="宋体" w:eastAsia="方正仿宋_GBK" w:cs="Times New Roman"/>
          <w:bCs/>
          <w:sz w:val="24"/>
          <w:szCs w:val="24"/>
        </w:rPr>
        <w:t>1、合同期限届满</w:t>
      </w:r>
    </w:p>
    <w:p>
      <w:pPr>
        <w:keepNext/>
        <w:snapToGrid w:val="0"/>
        <w:spacing w:line="400" w:lineRule="exact"/>
        <w:ind w:firstLine="480" w:firstLineChars="200"/>
        <w:outlineLvl w:val="0"/>
      </w:pPr>
      <w:r>
        <w:rPr>
          <w:rFonts w:hint="eastAsia" w:ascii="方正仿宋_GBK" w:hAnsi="宋体" w:eastAsia="方正仿宋_GBK" w:cs="Times New Roman"/>
          <w:bCs/>
          <w:sz w:val="24"/>
          <w:szCs w:val="24"/>
        </w:rPr>
        <w:t>2、</w:t>
      </w:r>
      <w:r>
        <w:rPr>
          <w:rFonts w:hint="eastAsia" w:ascii="方正仿宋_GBK" w:hAnsi="宋体" w:eastAsia="方正仿宋_GBK" w:cs="Times New Roman"/>
          <w:bCs/>
          <w:sz w:val="24"/>
          <w:szCs w:val="24"/>
          <w:lang w:val="en-US" w:eastAsia="zh-CN"/>
        </w:rPr>
        <w:t>如上级有关政策规定，医院有用途时，随时收回门面，解除合同，互不补偿。</w:t>
      </w:r>
    </w:p>
    <w:p>
      <w:pPr>
        <w:pStyle w:val="3"/>
        <w:spacing w:line="240" w:lineRule="auto"/>
        <w:rPr>
          <w:rFonts w:ascii="微软雅黑" w:hAnsi="微软雅黑" w:eastAsia="微软雅黑" w:cs="微软雅黑"/>
          <w:sz w:val="24"/>
          <w:szCs w:val="24"/>
        </w:rPr>
      </w:pPr>
      <w:bookmarkStart w:id="90" w:name="_Toc485108793"/>
      <w:bookmarkStart w:id="91" w:name="_Toc403569795"/>
      <w:bookmarkStart w:id="92" w:name="_Toc8982"/>
      <w:r>
        <w:rPr>
          <w:rFonts w:hint="eastAsia" w:ascii="微软雅黑" w:hAnsi="微软雅黑" w:eastAsia="微软雅黑" w:cs="微软雅黑"/>
          <w:sz w:val="24"/>
          <w:szCs w:val="24"/>
        </w:rPr>
        <w:t>六、其他</w:t>
      </w:r>
      <w:bookmarkEnd w:id="90"/>
      <w:bookmarkEnd w:id="91"/>
      <w:bookmarkEnd w:id="92"/>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（一）供应商必须在响应文件中对以上条款和服务承诺明确列出，承诺内容必须达到本篇及比选其他条款的要求。</w:t>
      </w:r>
    </w:p>
    <w:p>
      <w:pPr>
        <w:snapToGrid w:val="0"/>
        <w:spacing w:line="400" w:lineRule="exact"/>
        <w:ind w:firstLine="540"/>
        <w:rPr>
          <w:rFonts w:ascii="方正仿宋_GBK" w:hAnsi="宋体" w:eastAsia="方正仿宋_GBK" w:cs="Times New Roman"/>
          <w:sz w:val="24"/>
          <w:szCs w:val="24"/>
        </w:rPr>
      </w:pPr>
      <w:r>
        <w:rPr>
          <w:rFonts w:hint="eastAsia" w:ascii="方正仿宋_GBK" w:hAnsi="宋体" w:eastAsia="方正仿宋_GBK" w:cs="Times New Roman"/>
          <w:sz w:val="24"/>
          <w:szCs w:val="24"/>
        </w:rPr>
        <w:t>（二）其他未尽事宜由供需双方在采购合同中详细约定。</w:t>
      </w:r>
    </w:p>
    <w:p>
      <w:pPr>
        <w:snapToGrid w:val="0"/>
        <w:spacing w:line="400" w:lineRule="exact"/>
        <w:ind w:firstLine="540"/>
        <w:rPr>
          <w:rFonts w:ascii="方正仿宋_GBK" w:hAnsi="Times New Roman" w:eastAsia="方正仿宋_GBK" w:cs="Times New Roman"/>
          <w:sz w:val="24"/>
          <w:szCs w:val="24"/>
        </w:rPr>
      </w:pPr>
    </w:p>
    <w:p>
      <w:pPr>
        <w:pStyle w:val="2"/>
        <w:jc w:val="center"/>
        <w:rPr>
          <w:sz w:val="44"/>
          <w:szCs w:val="44"/>
        </w:rPr>
      </w:pPr>
      <w:r>
        <w:rPr>
          <w:rFonts w:eastAsia="黑体"/>
          <w:b/>
        </w:rPr>
        <w:br w:type="page"/>
      </w:r>
      <w:bookmarkEnd w:id="76"/>
      <w:bookmarkEnd w:id="77"/>
      <w:bookmarkStart w:id="93" w:name="_Toc485108794"/>
      <w:bookmarkStart w:id="94" w:name="_Toc403569796"/>
      <w:bookmarkStart w:id="95" w:name="_Toc261"/>
      <w:bookmarkStart w:id="96" w:name="_Toc148265480"/>
      <w:bookmarkStart w:id="97" w:name="_Toc303945820"/>
      <w:r>
        <w:rPr>
          <w:rFonts w:hint="eastAsia" w:ascii="微软雅黑" w:hAnsi="微软雅黑" w:eastAsia="微软雅黑" w:cs="微软雅黑"/>
          <w:b/>
          <w:sz w:val="36"/>
          <w:szCs w:val="36"/>
        </w:rPr>
        <w:t>第五篇  合同草案条款</w:t>
      </w:r>
      <w:bookmarkEnd w:id="93"/>
      <w:bookmarkEnd w:id="94"/>
      <w:bookmarkEnd w:id="95"/>
    </w:p>
    <w:p>
      <w:pPr>
        <w:pStyle w:val="3"/>
        <w:spacing w:line="240" w:lineRule="auto"/>
        <w:rPr>
          <w:rFonts w:ascii="微软雅黑" w:hAnsi="微软雅黑" w:eastAsia="微软雅黑" w:cs="微软雅黑"/>
          <w:sz w:val="24"/>
          <w:szCs w:val="24"/>
        </w:rPr>
      </w:pPr>
      <w:bookmarkStart w:id="98" w:name="_Toc54718202"/>
      <w:bookmarkStart w:id="99" w:name="_Toc22523"/>
      <w:r>
        <w:rPr>
          <w:rFonts w:hint="eastAsia" w:ascii="微软雅黑" w:hAnsi="微软雅黑" w:eastAsia="微软雅黑" w:cs="微软雅黑"/>
          <w:sz w:val="24"/>
          <w:szCs w:val="24"/>
        </w:rPr>
        <w:t>一、定义</w:t>
      </w:r>
      <w:bookmarkEnd w:id="98"/>
      <w:bookmarkEnd w:id="99"/>
    </w:p>
    <w:p>
      <w:pPr>
        <w:snapToGrid w:val="0"/>
        <w:spacing w:line="400" w:lineRule="exact"/>
        <w:ind w:firstLine="480" w:firstLineChars="200"/>
        <w:jc w:val="left"/>
        <w:rPr>
          <w:rFonts w:ascii="方正仿宋_GBK" w:hAnsi="宋体" w:eastAsia="方正仿宋_GBK" w:cs="Times New Roman"/>
          <w:sz w:val="24"/>
          <w:szCs w:val="24"/>
        </w:rPr>
      </w:pPr>
      <w:bookmarkStart w:id="100" w:name="_Toc988"/>
      <w:r>
        <w:rPr>
          <w:rFonts w:hint="eastAsia" w:ascii="方正仿宋_GBK" w:hAnsi="宋体" w:eastAsia="方正仿宋_GBK" w:cs="Times New Roman"/>
          <w:sz w:val="24"/>
          <w:szCs w:val="24"/>
        </w:rPr>
        <w:t>（一）甲方（需方）即重庆医科大学附属永川医院。</w:t>
      </w:r>
      <w:bookmarkEnd w:id="100"/>
    </w:p>
    <w:p>
      <w:pPr>
        <w:snapToGrid w:val="0"/>
        <w:spacing w:line="400" w:lineRule="exact"/>
        <w:ind w:firstLine="480" w:firstLineChars="200"/>
        <w:jc w:val="left"/>
        <w:rPr>
          <w:rFonts w:ascii="方正仿宋_GBK" w:hAnsi="宋体" w:eastAsia="方正仿宋_GBK" w:cs="Times New Roman"/>
          <w:sz w:val="24"/>
          <w:szCs w:val="24"/>
        </w:rPr>
      </w:pPr>
      <w:bookmarkStart w:id="101" w:name="_Toc22662"/>
      <w:r>
        <w:rPr>
          <w:rFonts w:hint="eastAsia" w:ascii="方正仿宋_GBK" w:hAnsi="宋体" w:eastAsia="方正仿宋_GBK" w:cs="Times New Roman"/>
          <w:sz w:val="24"/>
          <w:szCs w:val="24"/>
        </w:rPr>
        <w:t>（二）乙方（供方）即成交供应商，是指成交后提供合同货物和服务的自然人、法人及其他组织。</w:t>
      </w:r>
      <w:bookmarkEnd w:id="101"/>
    </w:p>
    <w:p>
      <w:pPr>
        <w:snapToGrid w:val="0"/>
        <w:spacing w:line="400" w:lineRule="exact"/>
        <w:ind w:firstLine="480" w:firstLineChars="200"/>
        <w:jc w:val="left"/>
        <w:rPr>
          <w:rFonts w:ascii="方正仿宋_GBK" w:hAnsi="宋体" w:eastAsia="方正仿宋_GBK" w:cs="Times New Roman"/>
          <w:sz w:val="24"/>
          <w:szCs w:val="24"/>
        </w:rPr>
      </w:pPr>
      <w:bookmarkStart w:id="102" w:name="_Toc30025"/>
      <w:r>
        <w:rPr>
          <w:rFonts w:hint="eastAsia" w:ascii="方正仿宋_GBK" w:hAnsi="宋体" w:eastAsia="方正仿宋_GBK" w:cs="Times New Roman"/>
          <w:sz w:val="24"/>
          <w:szCs w:val="24"/>
        </w:rPr>
        <w:t>（三）合同是指由甲乙双方按照比选文件和响应文件的实质性内容，通过协商一致达成的书面协议。</w:t>
      </w:r>
      <w:bookmarkEnd w:id="102"/>
    </w:p>
    <w:p>
      <w:pPr>
        <w:snapToGrid w:val="0"/>
        <w:spacing w:line="400" w:lineRule="exact"/>
        <w:ind w:firstLine="480" w:firstLineChars="200"/>
        <w:jc w:val="left"/>
        <w:rPr>
          <w:rFonts w:ascii="方正仿宋_GBK" w:hAnsi="宋体" w:eastAsia="方正仿宋_GBK" w:cs="Times New Roman"/>
          <w:sz w:val="24"/>
          <w:szCs w:val="24"/>
        </w:rPr>
      </w:pPr>
      <w:bookmarkStart w:id="103" w:name="_Toc2152"/>
      <w:r>
        <w:rPr>
          <w:rFonts w:hint="eastAsia" w:ascii="方正仿宋_GBK" w:hAnsi="宋体" w:eastAsia="方正仿宋_GBK" w:cs="Times New Roman"/>
          <w:sz w:val="24"/>
          <w:szCs w:val="24"/>
        </w:rPr>
        <w:t>（四）合同价格指以成交价格为依据，在供方全面履行合同义务后，需方应支付给供方的金额。</w:t>
      </w:r>
      <w:bookmarkEnd w:id="103"/>
    </w:p>
    <w:p>
      <w:pPr>
        <w:snapToGrid w:val="0"/>
        <w:spacing w:line="400" w:lineRule="exact"/>
        <w:ind w:firstLine="480" w:firstLineChars="200"/>
        <w:jc w:val="left"/>
        <w:rPr>
          <w:rFonts w:ascii="方正仿宋_GBK" w:hAnsi="宋体" w:eastAsia="方正仿宋_GBK" w:cs="Times New Roman"/>
          <w:sz w:val="24"/>
          <w:szCs w:val="24"/>
        </w:rPr>
      </w:pPr>
      <w:bookmarkStart w:id="104" w:name="_Toc9666"/>
      <w:r>
        <w:rPr>
          <w:rFonts w:hint="eastAsia" w:ascii="方正仿宋_GBK" w:hAnsi="宋体" w:eastAsia="方正仿宋_GBK" w:cs="Times New Roman"/>
          <w:sz w:val="24"/>
          <w:szCs w:val="24"/>
        </w:rPr>
        <w:t>（五）技术资料是指合同服务及其相关的设计、制造、监造、检验、验收等文件（包括图纸、各种文字说明、标准）。</w:t>
      </w:r>
      <w:bookmarkEnd w:id="104"/>
    </w:p>
    <w:p>
      <w:pPr>
        <w:pStyle w:val="3"/>
        <w:spacing w:line="240" w:lineRule="auto"/>
        <w:rPr>
          <w:rFonts w:ascii="微软雅黑" w:hAnsi="微软雅黑" w:eastAsia="微软雅黑" w:cs="微软雅黑"/>
          <w:sz w:val="24"/>
          <w:szCs w:val="24"/>
        </w:rPr>
      </w:pPr>
      <w:bookmarkStart w:id="105" w:name="_Toc54718203"/>
      <w:bookmarkStart w:id="106" w:name="_Toc16320"/>
      <w:r>
        <w:rPr>
          <w:rFonts w:hint="eastAsia" w:ascii="微软雅黑" w:hAnsi="微软雅黑" w:eastAsia="微软雅黑" w:cs="微软雅黑"/>
          <w:sz w:val="24"/>
          <w:szCs w:val="24"/>
        </w:rPr>
        <w:t>二、服务内容</w:t>
      </w:r>
      <w:bookmarkEnd w:id="105"/>
      <w:bookmarkEnd w:id="106"/>
    </w:p>
    <w:p>
      <w:pPr>
        <w:snapToGrid w:val="0"/>
        <w:spacing w:line="400" w:lineRule="exact"/>
        <w:ind w:firstLine="480" w:firstLineChars="200"/>
        <w:jc w:val="left"/>
        <w:rPr>
          <w:rFonts w:ascii="方正仿宋_GBK" w:hAnsi="宋体" w:eastAsia="方正仿宋_GBK" w:cs="Times New Roman"/>
          <w:sz w:val="24"/>
          <w:szCs w:val="24"/>
        </w:rPr>
      </w:pPr>
      <w:bookmarkStart w:id="107" w:name="_Toc28967"/>
      <w:r>
        <w:rPr>
          <w:rFonts w:hint="eastAsia" w:ascii="方正仿宋_GBK" w:hAnsi="宋体" w:eastAsia="方正仿宋_GBK" w:cs="Times New Roman"/>
          <w:sz w:val="24"/>
          <w:szCs w:val="24"/>
        </w:rPr>
        <w:t>合同包括以下内容：</w:t>
      </w:r>
      <w:r>
        <w:rPr>
          <w:rFonts w:hint="eastAsia" w:ascii="微软雅黑" w:hAnsi="微软雅黑" w:eastAsia="微软雅黑" w:cs="微软雅黑"/>
          <w:sz w:val="24"/>
          <w:szCs w:val="24"/>
        </w:rPr>
        <w:t>服务内容、服务要求、工作方案</w:t>
      </w:r>
      <w:r>
        <w:rPr>
          <w:rFonts w:hint="eastAsia" w:ascii="方正仿宋_GBK" w:hAnsi="宋体" w:eastAsia="方正仿宋_GBK" w:cs="Times New Roman"/>
          <w:sz w:val="24"/>
          <w:szCs w:val="24"/>
        </w:rPr>
        <w:t>等内容。</w:t>
      </w:r>
      <w:bookmarkEnd w:id="107"/>
    </w:p>
    <w:p>
      <w:pPr>
        <w:pStyle w:val="3"/>
        <w:spacing w:line="240" w:lineRule="auto"/>
        <w:rPr>
          <w:rFonts w:ascii="微软雅黑" w:hAnsi="微软雅黑" w:eastAsia="微软雅黑" w:cs="微软雅黑"/>
          <w:sz w:val="24"/>
          <w:szCs w:val="24"/>
        </w:rPr>
      </w:pPr>
      <w:bookmarkStart w:id="108" w:name="_Toc54718204"/>
      <w:bookmarkStart w:id="109" w:name="_Toc17835"/>
      <w:r>
        <w:rPr>
          <w:rFonts w:hint="eastAsia" w:ascii="微软雅黑" w:hAnsi="微软雅黑" w:eastAsia="微软雅黑" w:cs="微软雅黑"/>
          <w:sz w:val="24"/>
          <w:szCs w:val="24"/>
        </w:rPr>
        <w:t>三、合同价格</w:t>
      </w:r>
      <w:bookmarkEnd w:id="108"/>
      <w:bookmarkEnd w:id="109"/>
    </w:p>
    <w:p>
      <w:pPr>
        <w:snapToGrid w:val="0"/>
        <w:spacing w:line="400" w:lineRule="exact"/>
        <w:ind w:firstLine="480" w:firstLineChars="200"/>
        <w:jc w:val="left"/>
        <w:rPr>
          <w:rFonts w:ascii="微软雅黑" w:hAnsi="微软雅黑" w:eastAsia="微软雅黑" w:cs="微软雅黑"/>
          <w:sz w:val="24"/>
          <w:szCs w:val="24"/>
        </w:rPr>
      </w:pPr>
      <w:bookmarkStart w:id="110" w:name="_Toc25177"/>
      <w:bookmarkStart w:id="111" w:name="_Toc54718205"/>
      <w:r>
        <w:rPr>
          <w:rFonts w:hint="eastAsia" w:ascii="微软雅黑" w:hAnsi="微软雅黑" w:eastAsia="微软雅黑" w:cs="微软雅黑"/>
          <w:sz w:val="24"/>
          <w:szCs w:val="24"/>
        </w:rPr>
        <w:t>（一）每年报价与服务期限的积是合同总价。</w:t>
      </w:r>
      <w:bookmarkEnd w:id="110"/>
    </w:p>
    <w:p>
      <w:pPr>
        <w:snapToGrid w:val="0"/>
        <w:spacing w:line="400" w:lineRule="exact"/>
        <w:ind w:firstLine="480" w:firstLineChars="200"/>
        <w:jc w:val="left"/>
        <w:rPr>
          <w:rFonts w:ascii="微软雅黑" w:hAnsi="微软雅黑" w:eastAsia="微软雅黑" w:cs="微软雅黑"/>
          <w:sz w:val="24"/>
          <w:szCs w:val="24"/>
        </w:rPr>
      </w:pPr>
      <w:bookmarkStart w:id="112" w:name="_Toc3890"/>
      <w:r>
        <w:rPr>
          <w:rFonts w:hint="eastAsia" w:ascii="微软雅黑" w:hAnsi="微软雅黑" w:eastAsia="微软雅黑" w:cs="微软雅黑"/>
          <w:sz w:val="24"/>
          <w:szCs w:val="24"/>
        </w:rPr>
        <w:t>（二）合同价格包括服务费、税费、交通费、保险费及与服务有关的所有费用由乙方负担。</w:t>
      </w:r>
      <w:bookmarkEnd w:id="112"/>
    </w:p>
    <w:p>
      <w:pPr>
        <w:pStyle w:val="3"/>
        <w:spacing w:line="240" w:lineRule="auto"/>
        <w:rPr>
          <w:rFonts w:ascii="微软雅黑" w:hAnsi="微软雅黑" w:eastAsia="微软雅黑" w:cs="微软雅黑"/>
          <w:sz w:val="24"/>
          <w:szCs w:val="24"/>
        </w:rPr>
      </w:pPr>
      <w:bookmarkStart w:id="113" w:name="_Toc12967"/>
      <w:r>
        <w:rPr>
          <w:rFonts w:hint="eastAsia" w:ascii="微软雅黑" w:hAnsi="微软雅黑" w:eastAsia="微软雅黑" w:cs="微软雅黑"/>
          <w:sz w:val="24"/>
          <w:szCs w:val="24"/>
        </w:rPr>
        <w:t>四、转包或分包</w:t>
      </w:r>
      <w:bookmarkEnd w:id="111"/>
      <w:bookmarkEnd w:id="113"/>
    </w:p>
    <w:p>
      <w:pPr>
        <w:snapToGrid w:val="0"/>
        <w:spacing w:line="400" w:lineRule="exact"/>
        <w:ind w:firstLine="480" w:firstLineChars="200"/>
        <w:jc w:val="left"/>
        <w:rPr>
          <w:rFonts w:ascii="方正仿宋_GBK" w:hAnsi="宋体" w:eastAsia="方正仿宋_GBK" w:cs="Times New Roman"/>
          <w:sz w:val="24"/>
          <w:szCs w:val="24"/>
        </w:rPr>
      </w:pPr>
      <w:bookmarkStart w:id="114" w:name="_Toc8161"/>
      <w:r>
        <w:rPr>
          <w:rFonts w:hint="eastAsia" w:ascii="方正仿宋_GBK" w:hAnsi="宋体" w:eastAsia="方正仿宋_GBK" w:cs="Times New Roman"/>
          <w:sz w:val="24"/>
          <w:szCs w:val="24"/>
        </w:rPr>
        <w:t>（一）本合同范围的服务，应由乙方直接供应，不得转让他人供应；</w:t>
      </w:r>
      <w:bookmarkEnd w:id="114"/>
    </w:p>
    <w:p>
      <w:pPr>
        <w:snapToGrid w:val="0"/>
        <w:spacing w:line="400" w:lineRule="exact"/>
        <w:ind w:firstLine="480" w:firstLineChars="200"/>
        <w:jc w:val="left"/>
        <w:rPr>
          <w:rFonts w:ascii="方正仿宋_GBK" w:hAnsi="宋体" w:eastAsia="方正仿宋_GBK" w:cs="Times New Roman"/>
          <w:sz w:val="24"/>
          <w:szCs w:val="24"/>
        </w:rPr>
      </w:pPr>
      <w:bookmarkStart w:id="115" w:name="_Toc26926"/>
      <w:r>
        <w:rPr>
          <w:rFonts w:hint="eastAsia" w:ascii="方正仿宋_GBK" w:hAnsi="宋体" w:eastAsia="方正仿宋_GBK" w:cs="Times New Roman"/>
          <w:sz w:val="24"/>
          <w:szCs w:val="24"/>
        </w:rPr>
        <w:t>（二）非经甲方书面同意，乙方不得将本合同范围的货物全部或部分分包给他人供应；</w:t>
      </w:r>
      <w:bookmarkEnd w:id="115"/>
    </w:p>
    <w:p>
      <w:pPr>
        <w:snapToGrid w:val="0"/>
        <w:spacing w:line="400" w:lineRule="exact"/>
        <w:ind w:firstLine="480" w:firstLineChars="200"/>
        <w:jc w:val="left"/>
        <w:rPr>
          <w:rFonts w:ascii="方正仿宋_GBK" w:hAnsi="宋体" w:eastAsia="方正仿宋_GBK" w:cs="Times New Roman"/>
          <w:sz w:val="24"/>
          <w:szCs w:val="24"/>
        </w:rPr>
      </w:pPr>
      <w:bookmarkStart w:id="116" w:name="_Toc11245"/>
      <w:r>
        <w:rPr>
          <w:rFonts w:hint="eastAsia" w:ascii="方正仿宋_GBK" w:hAnsi="宋体" w:eastAsia="方正仿宋_GBK" w:cs="Times New Roman"/>
          <w:sz w:val="24"/>
          <w:szCs w:val="24"/>
        </w:rPr>
        <w:t>（三）如有转让和未经甲方同意的分包行为，甲方有权解除合同，没收履约保证金并追究乙方的违约责任。</w:t>
      </w:r>
      <w:bookmarkEnd w:id="116"/>
    </w:p>
    <w:p>
      <w:pPr>
        <w:pStyle w:val="3"/>
        <w:spacing w:line="240" w:lineRule="auto"/>
        <w:rPr>
          <w:rFonts w:ascii="微软雅黑" w:hAnsi="微软雅黑" w:eastAsia="微软雅黑" w:cs="微软雅黑"/>
          <w:sz w:val="24"/>
          <w:szCs w:val="24"/>
        </w:rPr>
      </w:pPr>
      <w:bookmarkStart w:id="117" w:name="_Toc54718206"/>
      <w:bookmarkStart w:id="118" w:name="_Toc3110"/>
      <w:r>
        <w:rPr>
          <w:rFonts w:hint="eastAsia" w:ascii="微软雅黑" w:hAnsi="微软雅黑" w:eastAsia="微软雅黑" w:cs="微软雅黑"/>
          <w:sz w:val="24"/>
          <w:szCs w:val="24"/>
        </w:rPr>
        <w:t>五、质量保证及售后服务</w:t>
      </w:r>
      <w:bookmarkEnd w:id="117"/>
      <w:bookmarkEnd w:id="118"/>
    </w:p>
    <w:p>
      <w:pPr>
        <w:snapToGrid w:val="0"/>
        <w:spacing w:line="400" w:lineRule="exact"/>
        <w:ind w:firstLine="480" w:firstLineChars="200"/>
        <w:rPr>
          <w:rFonts w:ascii="微软雅黑" w:hAnsi="微软雅黑" w:eastAsia="微软雅黑" w:cs="微软雅黑"/>
          <w:sz w:val="24"/>
          <w:szCs w:val="24"/>
        </w:rPr>
      </w:pPr>
      <w:bookmarkStart w:id="119" w:name="_Toc21178"/>
      <w:bookmarkStart w:id="120" w:name="_Toc54718207"/>
      <w:r>
        <w:rPr>
          <w:rFonts w:hint="eastAsia" w:ascii="微软雅黑" w:hAnsi="微软雅黑" w:eastAsia="微软雅黑" w:cs="微软雅黑"/>
          <w:sz w:val="24"/>
          <w:szCs w:val="24"/>
        </w:rPr>
        <w:t>（一）乙方提供的服务需符合国家相关法律法规，并满足甲方提出的相关要求。</w:t>
      </w:r>
    </w:p>
    <w:p>
      <w:pPr>
        <w:snapToGrid w:val="0"/>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（二）如在使用过程中出现争议问题，乙方应同本项目“第四篇 项目商务要求”对质量保证及售后服务内容的约定。</w:t>
      </w:r>
    </w:p>
    <w:p>
      <w:pPr>
        <w:snapToGrid w:val="0"/>
        <w:spacing w:line="400" w:lineRule="exact"/>
        <w:ind w:firstLine="480" w:firstLineChars="200"/>
        <w:rPr>
          <w:rFonts w:ascii="微软雅黑" w:hAnsi="微软雅黑" w:eastAsia="微软雅黑" w:cs="微软雅黑"/>
          <w:sz w:val="24"/>
          <w:szCs w:val="24"/>
        </w:rPr>
      </w:pPr>
      <w:r>
        <w:rPr>
          <w:rFonts w:hint="eastAsia" w:ascii="微软雅黑" w:hAnsi="微软雅黑" w:eastAsia="微软雅黑" w:cs="微软雅黑"/>
          <w:sz w:val="24"/>
          <w:szCs w:val="24"/>
        </w:rPr>
        <w:t>（三）合同期内，在服务过程中出现的安全问题，乙方负责处理解决并承担一切费用。</w:t>
      </w:r>
      <w:bookmarkEnd w:id="119"/>
    </w:p>
    <w:p>
      <w:pPr>
        <w:pStyle w:val="3"/>
        <w:spacing w:line="240" w:lineRule="auto"/>
        <w:rPr>
          <w:rFonts w:ascii="微软雅黑" w:hAnsi="微软雅黑" w:eastAsia="微软雅黑" w:cs="微软雅黑"/>
          <w:sz w:val="24"/>
          <w:szCs w:val="24"/>
        </w:rPr>
      </w:pPr>
      <w:bookmarkStart w:id="121" w:name="_Toc2116"/>
      <w:r>
        <w:rPr>
          <w:rFonts w:hint="eastAsia" w:ascii="微软雅黑" w:hAnsi="微软雅黑" w:eastAsia="微软雅黑" w:cs="微软雅黑"/>
          <w:sz w:val="24"/>
          <w:szCs w:val="24"/>
        </w:rPr>
        <w:t>六、付款</w:t>
      </w:r>
      <w:bookmarkEnd w:id="120"/>
      <w:bookmarkEnd w:id="121"/>
    </w:p>
    <w:p>
      <w:pPr>
        <w:snapToGrid w:val="0"/>
        <w:spacing w:line="400" w:lineRule="exact"/>
        <w:ind w:firstLine="480" w:firstLineChars="200"/>
        <w:jc w:val="left"/>
        <w:rPr>
          <w:rFonts w:ascii="方正仿宋_GBK" w:hAnsi="宋体" w:eastAsia="方正仿宋_GBK" w:cs="Times New Roman"/>
          <w:sz w:val="24"/>
          <w:szCs w:val="24"/>
        </w:rPr>
      </w:pPr>
      <w:bookmarkStart w:id="122" w:name="_Toc23183"/>
      <w:r>
        <w:rPr>
          <w:rFonts w:hint="eastAsia" w:ascii="方正仿宋_GBK" w:hAnsi="宋体" w:eastAsia="方正仿宋_GBK" w:cs="Times New Roman"/>
          <w:sz w:val="24"/>
          <w:szCs w:val="24"/>
        </w:rPr>
        <w:t>（一）本合同使用货币币制如未作特别说明均为人民币。</w:t>
      </w:r>
      <w:bookmarkEnd w:id="122"/>
    </w:p>
    <w:p>
      <w:pPr>
        <w:snapToGrid w:val="0"/>
        <w:spacing w:line="400" w:lineRule="exact"/>
        <w:ind w:firstLine="480" w:firstLineChars="200"/>
        <w:jc w:val="left"/>
        <w:rPr>
          <w:rFonts w:ascii="方正仿宋_GBK" w:hAnsi="宋体" w:eastAsia="方正仿宋_GBK" w:cs="Times New Roman"/>
          <w:sz w:val="24"/>
          <w:szCs w:val="24"/>
        </w:rPr>
      </w:pPr>
      <w:bookmarkStart w:id="123" w:name="_Toc8880"/>
      <w:r>
        <w:rPr>
          <w:rFonts w:hint="eastAsia" w:ascii="方正仿宋_GBK" w:hAnsi="宋体" w:eastAsia="方正仿宋_GBK" w:cs="Times New Roman"/>
          <w:sz w:val="24"/>
          <w:szCs w:val="24"/>
        </w:rPr>
        <w:t>（二）付款方式：银行转账。</w:t>
      </w:r>
      <w:bookmarkEnd w:id="123"/>
    </w:p>
    <w:p>
      <w:pPr>
        <w:snapToGrid w:val="0"/>
        <w:spacing w:line="400" w:lineRule="exact"/>
        <w:ind w:firstLine="480" w:firstLineChars="200"/>
        <w:jc w:val="left"/>
        <w:rPr>
          <w:rFonts w:ascii="方正仿宋_GBK" w:hAnsi="宋体" w:eastAsia="方正仿宋_GBK" w:cs="Times New Roman"/>
          <w:sz w:val="24"/>
          <w:szCs w:val="24"/>
        </w:rPr>
      </w:pPr>
      <w:bookmarkStart w:id="124" w:name="_Toc28037"/>
      <w:r>
        <w:rPr>
          <w:rFonts w:hint="eastAsia" w:ascii="方正仿宋_GBK" w:hAnsi="宋体" w:eastAsia="方正仿宋_GBK" w:cs="Times New Roman"/>
          <w:sz w:val="24"/>
          <w:szCs w:val="24"/>
        </w:rPr>
        <w:t>（三）付款方法：同本项目“第四篇 项目商务要求”中关于付款方式的约定。</w:t>
      </w:r>
      <w:bookmarkEnd w:id="124"/>
    </w:p>
    <w:p>
      <w:pPr>
        <w:pStyle w:val="3"/>
        <w:spacing w:line="240" w:lineRule="auto"/>
        <w:rPr>
          <w:rFonts w:ascii="微软雅黑" w:hAnsi="微软雅黑" w:eastAsia="微软雅黑" w:cs="微软雅黑"/>
          <w:sz w:val="24"/>
          <w:szCs w:val="24"/>
        </w:rPr>
      </w:pPr>
      <w:bookmarkStart w:id="125" w:name="_Toc54718210"/>
      <w:bookmarkStart w:id="126" w:name="_Toc31818"/>
      <w:r>
        <w:rPr>
          <w:rFonts w:hint="eastAsia" w:ascii="微软雅黑" w:hAnsi="微软雅黑" w:eastAsia="微软雅黑" w:cs="微软雅黑"/>
          <w:sz w:val="24"/>
          <w:szCs w:val="24"/>
        </w:rPr>
        <w:t>七、知识产权</w:t>
      </w:r>
      <w:bookmarkEnd w:id="125"/>
      <w:bookmarkEnd w:id="126"/>
    </w:p>
    <w:p>
      <w:pPr>
        <w:snapToGrid w:val="0"/>
        <w:spacing w:line="400" w:lineRule="exact"/>
        <w:ind w:firstLine="480" w:firstLineChars="200"/>
        <w:jc w:val="left"/>
        <w:rPr>
          <w:rFonts w:ascii="方正仿宋_GBK" w:hAnsi="宋体" w:eastAsia="方正仿宋_GBK" w:cs="Times New Roman"/>
          <w:sz w:val="24"/>
          <w:szCs w:val="24"/>
        </w:rPr>
      </w:pPr>
      <w:bookmarkStart w:id="127" w:name="_Toc11938"/>
      <w:r>
        <w:rPr>
          <w:rFonts w:hint="eastAsia" w:ascii="方正仿宋_GBK" w:hAnsi="宋体" w:eastAsia="方正仿宋_GBK" w:cs="Times New Roman"/>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pPr>
        <w:snapToGrid w:val="0"/>
        <w:spacing w:line="400" w:lineRule="exact"/>
        <w:ind w:firstLine="480" w:firstLineChars="200"/>
        <w:jc w:val="left"/>
        <w:rPr>
          <w:rFonts w:ascii="方正仿宋_GBK" w:hAnsi="宋体" w:eastAsia="方正仿宋_GBK" w:cs="Times New Roman"/>
          <w:sz w:val="24"/>
          <w:szCs w:val="24"/>
        </w:rPr>
      </w:pPr>
      <w:bookmarkStart w:id="128" w:name="_Toc17287"/>
      <w:r>
        <w:rPr>
          <w:rFonts w:hint="eastAsia" w:ascii="方正仿宋_GBK" w:hAnsi="宋体" w:eastAsia="方正仿宋_GBK" w:cs="Times New Roman"/>
          <w:sz w:val="24"/>
          <w:szCs w:val="24"/>
        </w:rPr>
        <w:t>（二）若涉及软件开发等服务类项目知识产权的，知识产权归医院所有。</w:t>
      </w:r>
      <w:bookmarkEnd w:id="128"/>
    </w:p>
    <w:p>
      <w:pPr>
        <w:pStyle w:val="3"/>
        <w:spacing w:line="240" w:lineRule="auto"/>
        <w:rPr>
          <w:rFonts w:ascii="微软雅黑" w:hAnsi="微软雅黑" w:eastAsia="微软雅黑" w:cs="微软雅黑"/>
          <w:sz w:val="24"/>
          <w:szCs w:val="24"/>
        </w:rPr>
      </w:pPr>
      <w:bookmarkStart w:id="129" w:name="_Toc54718211"/>
      <w:bookmarkStart w:id="130" w:name="_Toc8330"/>
      <w:r>
        <w:rPr>
          <w:rFonts w:hint="eastAsia" w:ascii="微软雅黑" w:hAnsi="微软雅黑" w:eastAsia="微软雅黑" w:cs="微软雅黑"/>
          <w:sz w:val="24"/>
          <w:szCs w:val="24"/>
        </w:rPr>
        <w:t>八、合同争议的解决</w:t>
      </w:r>
      <w:bookmarkEnd w:id="129"/>
      <w:bookmarkEnd w:id="130"/>
    </w:p>
    <w:p>
      <w:pPr>
        <w:snapToGrid w:val="0"/>
        <w:spacing w:line="400" w:lineRule="exact"/>
        <w:ind w:firstLine="480" w:firstLineChars="200"/>
        <w:jc w:val="left"/>
        <w:rPr>
          <w:rFonts w:ascii="方正仿宋_GBK" w:hAnsi="宋体" w:eastAsia="方正仿宋_GBK" w:cs="Times New Roman"/>
          <w:sz w:val="24"/>
          <w:szCs w:val="24"/>
        </w:rPr>
      </w:pPr>
      <w:bookmarkStart w:id="131" w:name="_Toc5382"/>
      <w:r>
        <w:rPr>
          <w:rFonts w:hint="eastAsia" w:ascii="方正仿宋_GBK" w:hAnsi="宋体" w:eastAsia="方正仿宋_GBK" w:cs="Times New Roman"/>
          <w:sz w:val="24"/>
          <w:szCs w:val="24"/>
        </w:rPr>
        <w:t>（一）当事人友好协商达成一致</w:t>
      </w:r>
      <w:bookmarkEnd w:id="131"/>
    </w:p>
    <w:p>
      <w:pPr>
        <w:snapToGrid w:val="0"/>
        <w:spacing w:line="400" w:lineRule="exact"/>
        <w:ind w:firstLine="480" w:firstLineChars="200"/>
        <w:jc w:val="left"/>
        <w:rPr>
          <w:rFonts w:ascii="方正仿宋_GBK" w:hAnsi="宋体" w:eastAsia="方正仿宋_GBK" w:cs="Times New Roman"/>
          <w:sz w:val="24"/>
          <w:szCs w:val="24"/>
        </w:rPr>
      </w:pPr>
      <w:bookmarkStart w:id="132" w:name="_Toc29926"/>
      <w:r>
        <w:rPr>
          <w:rFonts w:hint="eastAsia" w:ascii="方正仿宋_GBK" w:hAnsi="宋体" w:eastAsia="方正仿宋_GBK" w:cs="Times New Roman"/>
          <w:sz w:val="24"/>
          <w:szCs w:val="24"/>
        </w:rPr>
        <w:t>（二）在60天内当事人协商不能达成协议的，可提请医院当地仲裁机构仲裁。</w:t>
      </w:r>
      <w:bookmarkEnd w:id="132"/>
    </w:p>
    <w:p>
      <w:pPr>
        <w:pStyle w:val="3"/>
        <w:spacing w:line="240" w:lineRule="auto"/>
        <w:rPr>
          <w:rFonts w:ascii="微软雅黑" w:hAnsi="微软雅黑" w:eastAsia="微软雅黑" w:cs="微软雅黑"/>
          <w:sz w:val="24"/>
          <w:szCs w:val="24"/>
        </w:rPr>
      </w:pPr>
      <w:bookmarkStart w:id="133" w:name="_Toc54718212"/>
      <w:bookmarkStart w:id="134" w:name="_Toc18054"/>
      <w:r>
        <w:rPr>
          <w:rFonts w:hint="eastAsia" w:ascii="微软雅黑" w:hAnsi="微软雅黑" w:eastAsia="微软雅黑" w:cs="微软雅黑"/>
          <w:sz w:val="24"/>
          <w:szCs w:val="24"/>
        </w:rPr>
        <w:t>九、违约责任</w:t>
      </w:r>
      <w:bookmarkEnd w:id="133"/>
      <w:bookmarkEnd w:id="134"/>
    </w:p>
    <w:p>
      <w:pPr>
        <w:snapToGrid w:val="0"/>
        <w:spacing w:line="400" w:lineRule="exact"/>
        <w:ind w:firstLine="480" w:firstLineChars="200"/>
        <w:jc w:val="left"/>
        <w:rPr>
          <w:rFonts w:ascii="方正仿宋_GBK" w:hAnsi="宋体" w:eastAsia="方正仿宋_GBK" w:cs="Times New Roman"/>
          <w:sz w:val="24"/>
          <w:szCs w:val="24"/>
        </w:rPr>
      </w:pPr>
      <w:bookmarkStart w:id="135" w:name="_Toc54718213"/>
      <w:r>
        <w:rPr>
          <w:rFonts w:hint="eastAsia" w:ascii="方正仿宋_GBK" w:hAnsi="宋体" w:eastAsia="方正仿宋_GBK" w:cs="Times New Roman"/>
          <w:sz w:val="24"/>
          <w:szCs w:val="24"/>
        </w:rPr>
        <w:t>按《中华人民共和国民法典》有关条款，或由供需双方约定。</w:t>
      </w:r>
    </w:p>
    <w:p>
      <w:pPr>
        <w:pStyle w:val="3"/>
        <w:spacing w:line="240" w:lineRule="auto"/>
        <w:rPr>
          <w:rFonts w:ascii="微软雅黑" w:hAnsi="微软雅黑" w:eastAsia="微软雅黑" w:cs="微软雅黑"/>
          <w:sz w:val="24"/>
          <w:szCs w:val="24"/>
        </w:rPr>
      </w:pPr>
      <w:bookmarkStart w:id="136" w:name="_Toc8524"/>
      <w:r>
        <w:rPr>
          <w:rFonts w:hint="eastAsia" w:ascii="微软雅黑" w:hAnsi="微软雅黑" w:eastAsia="微软雅黑" w:cs="微软雅黑"/>
          <w:sz w:val="24"/>
          <w:szCs w:val="24"/>
        </w:rPr>
        <w:t>十、合同生效及其它</w:t>
      </w:r>
      <w:bookmarkEnd w:id="135"/>
      <w:bookmarkEnd w:id="136"/>
    </w:p>
    <w:p>
      <w:pPr>
        <w:snapToGrid w:val="0"/>
        <w:spacing w:line="400" w:lineRule="exact"/>
        <w:ind w:firstLine="480" w:firstLineChars="200"/>
        <w:jc w:val="left"/>
        <w:rPr>
          <w:rFonts w:ascii="方正仿宋_GBK" w:hAnsi="宋体" w:eastAsia="方正仿宋_GBK" w:cs="Times New Roman"/>
          <w:sz w:val="24"/>
          <w:szCs w:val="24"/>
        </w:rPr>
      </w:pPr>
      <w:bookmarkStart w:id="137" w:name="_Toc7071"/>
      <w:r>
        <w:rPr>
          <w:rFonts w:hint="eastAsia" w:ascii="方正仿宋_GBK" w:hAnsi="宋体" w:eastAsia="方正仿宋_GBK" w:cs="Times New Roman"/>
          <w:sz w:val="24"/>
          <w:szCs w:val="24"/>
        </w:rPr>
        <w:t>（一）合同生效及其效力应符合《中华人民共和国民法典》有关规定。</w:t>
      </w:r>
      <w:bookmarkEnd w:id="137"/>
    </w:p>
    <w:p>
      <w:pPr>
        <w:snapToGrid w:val="0"/>
        <w:spacing w:line="400" w:lineRule="exact"/>
        <w:ind w:firstLine="480" w:firstLineChars="200"/>
        <w:jc w:val="left"/>
        <w:rPr>
          <w:rFonts w:ascii="方正仿宋_GBK" w:hAnsi="宋体" w:eastAsia="方正仿宋_GBK" w:cs="Times New Roman"/>
          <w:sz w:val="24"/>
          <w:szCs w:val="24"/>
        </w:rPr>
      </w:pPr>
      <w:bookmarkStart w:id="138" w:name="_Toc26923"/>
      <w:r>
        <w:rPr>
          <w:rFonts w:hint="eastAsia" w:ascii="方正仿宋_GBK" w:hAnsi="宋体" w:eastAsia="方正仿宋_GBK" w:cs="Times New Roman"/>
          <w:sz w:val="24"/>
          <w:szCs w:val="24"/>
        </w:rPr>
        <w:t>（二）合同应经当事人法定代表人或委托代理人签字，加盖双方合同专用章或公章。</w:t>
      </w:r>
      <w:bookmarkEnd w:id="138"/>
    </w:p>
    <w:p>
      <w:pPr>
        <w:snapToGrid w:val="0"/>
        <w:spacing w:line="400" w:lineRule="exact"/>
        <w:ind w:firstLine="480" w:firstLineChars="200"/>
        <w:jc w:val="left"/>
        <w:rPr>
          <w:rFonts w:ascii="方正仿宋_GBK" w:hAnsi="宋体" w:eastAsia="方正仿宋_GBK" w:cs="Times New Roman"/>
          <w:sz w:val="24"/>
          <w:szCs w:val="24"/>
        </w:rPr>
      </w:pPr>
      <w:bookmarkStart w:id="139" w:name="_Toc21580"/>
      <w:r>
        <w:rPr>
          <w:rFonts w:hint="eastAsia" w:ascii="方正仿宋_GBK" w:hAnsi="宋体" w:eastAsia="方正仿宋_GBK" w:cs="Times New Roman"/>
          <w:sz w:val="24"/>
          <w:szCs w:val="24"/>
        </w:rPr>
        <w:t>（三）合同所包括附件，是合同不可分割的一部分，具有同等法法律效力。</w:t>
      </w:r>
      <w:bookmarkEnd w:id="139"/>
    </w:p>
    <w:p>
      <w:pPr>
        <w:snapToGrid w:val="0"/>
        <w:spacing w:line="400" w:lineRule="exact"/>
        <w:ind w:firstLine="480" w:firstLineChars="200"/>
        <w:jc w:val="left"/>
        <w:rPr>
          <w:rFonts w:ascii="方正仿宋_GBK" w:hAnsi="宋体" w:eastAsia="方正仿宋_GBK" w:cs="Times New Roman"/>
          <w:sz w:val="24"/>
          <w:szCs w:val="24"/>
        </w:rPr>
      </w:pPr>
      <w:bookmarkStart w:id="140" w:name="_Toc28233"/>
      <w:r>
        <w:rPr>
          <w:rFonts w:hint="eastAsia" w:ascii="方正仿宋_GBK" w:hAnsi="宋体" w:eastAsia="方正仿宋_GBK" w:cs="Times New Roman"/>
          <w:sz w:val="24"/>
          <w:szCs w:val="24"/>
        </w:rPr>
        <w:t>（四）合同需提供担保的，按《中华人民共和国担保法》规定执行。</w:t>
      </w:r>
      <w:bookmarkEnd w:id="140"/>
    </w:p>
    <w:p>
      <w:pPr>
        <w:snapToGrid w:val="0"/>
        <w:spacing w:line="400" w:lineRule="exact"/>
        <w:ind w:firstLine="480" w:firstLineChars="200"/>
        <w:jc w:val="left"/>
        <w:rPr>
          <w:rFonts w:ascii="方正仿宋_GBK" w:hAnsi="宋体" w:eastAsia="方正仿宋_GBK" w:cs="Times New Roman"/>
          <w:sz w:val="24"/>
          <w:szCs w:val="24"/>
        </w:rPr>
      </w:pPr>
      <w:bookmarkStart w:id="141" w:name="_Toc18983"/>
      <w:r>
        <w:rPr>
          <w:rFonts w:hint="eastAsia" w:ascii="方正仿宋_GBK" w:hAnsi="宋体" w:eastAsia="方正仿宋_GBK" w:cs="Times New Roman"/>
          <w:sz w:val="24"/>
          <w:szCs w:val="24"/>
        </w:rPr>
        <w:t>（五）本合同条件未尽事宜依照《中华人民共和国民法典》，由供需双方共同协商确定。</w:t>
      </w:r>
      <w:bookmarkEnd w:id="141"/>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p>
      <w:pPr>
        <w:snapToGrid w:val="0"/>
        <w:spacing w:line="400" w:lineRule="exact"/>
        <w:ind w:firstLine="480" w:firstLineChars="200"/>
        <w:rPr>
          <w:rFonts w:ascii="方正仿宋_GBK" w:hAnsi="Times New Roman" w:eastAsia="方正仿宋_GBK" w:cs="Times New Roman"/>
          <w:sz w:val="24"/>
          <w:szCs w:val="20"/>
        </w:rPr>
      </w:pPr>
    </w:p>
    <w:bookmarkEnd w:id="96"/>
    <w:bookmarkEnd w:id="97"/>
    <w:p>
      <w:pPr>
        <w:snapToGrid w:val="0"/>
        <w:spacing w:line="400" w:lineRule="exact"/>
        <w:rPr>
          <w:rFonts w:ascii="方正仿宋_GBK" w:hAnsi="Times New Roman" w:eastAsia="方正仿宋_GBK" w:cs="Times New Roman"/>
          <w:sz w:val="24"/>
          <w:szCs w:val="20"/>
        </w:rPr>
      </w:pPr>
    </w:p>
    <w:p>
      <w:pPr>
        <w:pStyle w:val="2"/>
        <w:jc w:val="center"/>
        <w:rPr>
          <w:rFonts w:ascii="微软雅黑" w:hAnsi="微软雅黑" w:eastAsia="微软雅黑" w:cs="微软雅黑"/>
          <w:b/>
          <w:sz w:val="36"/>
          <w:szCs w:val="36"/>
        </w:rPr>
      </w:pPr>
      <w:bookmarkStart w:id="142" w:name="_Hlt41879464"/>
      <w:bookmarkEnd w:id="142"/>
      <w:bookmarkStart w:id="143" w:name="_Toc485108795"/>
      <w:bookmarkStart w:id="144" w:name="_Toc12789072"/>
      <w:bookmarkStart w:id="145" w:name="_Toc23545"/>
      <w:r>
        <w:rPr>
          <w:rFonts w:hint="eastAsia" w:ascii="微软雅黑" w:hAnsi="微软雅黑" w:eastAsia="微软雅黑" w:cs="微软雅黑"/>
          <w:b/>
          <w:sz w:val="36"/>
          <w:szCs w:val="36"/>
        </w:rPr>
        <w:t>第六篇  响应文件格式要求</w:t>
      </w:r>
      <w:bookmarkEnd w:id="143"/>
      <w:bookmarkEnd w:id="144"/>
      <w:bookmarkEnd w:id="145"/>
    </w:p>
    <w:p>
      <w:pPr>
        <w:pStyle w:val="3"/>
        <w:spacing w:line="240" w:lineRule="auto"/>
        <w:rPr>
          <w:rFonts w:ascii="微软雅黑" w:hAnsi="微软雅黑" w:eastAsia="微软雅黑" w:cs="微软雅黑"/>
          <w:sz w:val="24"/>
          <w:szCs w:val="24"/>
        </w:rPr>
      </w:pPr>
      <w:bookmarkStart w:id="146" w:name="_Toc30563"/>
      <w:r>
        <w:rPr>
          <w:rFonts w:hint="eastAsia" w:ascii="微软雅黑" w:hAnsi="微软雅黑" w:eastAsia="微软雅黑" w:cs="微软雅黑"/>
          <w:sz w:val="24"/>
          <w:szCs w:val="24"/>
        </w:rPr>
        <w:t>一、经济部分</w:t>
      </w:r>
      <w:bookmarkEnd w:id="146"/>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pStyle w:val="3"/>
        <w:spacing w:line="240" w:lineRule="auto"/>
        <w:rPr>
          <w:rFonts w:ascii="微软雅黑" w:hAnsi="微软雅黑" w:eastAsia="微软雅黑" w:cs="微软雅黑"/>
          <w:sz w:val="24"/>
          <w:szCs w:val="24"/>
        </w:rPr>
      </w:pPr>
      <w:bookmarkStart w:id="147" w:name="_Toc32136"/>
      <w:r>
        <w:rPr>
          <w:rFonts w:hint="eastAsia" w:ascii="微软雅黑" w:hAnsi="微软雅黑" w:eastAsia="微软雅黑" w:cs="微软雅黑"/>
          <w:sz w:val="24"/>
          <w:szCs w:val="24"/>
        </w:rPr>
        <w:t>二、服务部分</w:t>
      </w:r>
      <w:bookmarkEnd w:id="147"/>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（一）按照“第三篇  项目服务需求”提供相应资料</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（二）服务响应偏离表</w:t>
      </w:r>
    </w:p>
    <w:p>
      <w:pPr>
        <w:pStyle w:val="3"/>
        <w:spacing w:line="240" w:lineRule="auto"/>
        <w:rPr>
          <w:rFonts w:ascii="微软雅黑" w:hAnsi="微软雅黑" w:eastAsia="微软雅黑" w:cs="微软雅黑"/>
          <w:sz w:val="24"/>
          <w:szCs w:val="24"/>
        </w:rPr>
      </w:pPr>
      <w:bookmarkStart w:id="148" w:name="_Toc29150"/>
      <w:r>
        <w:rPr>
          <w:rFonts w:hint="eastAsia" w:ascii="微软雅黑" w:hAnsi="微软雅黑" w:eastAsia="微软雅黑" w:cs="微软雅黑"/>
          <w:sz w:val="24"/>
          <w:szCs w:val="24"/>
        </w:rPr>
        <w:t>三、商务部分</w:t>
      </w:r>
      <w:bookmarkEnd w:id="148"/>
    </w:p>
    <w:p>
      <w:pPr>
        <w:spacing w:line="400" w:lineRule="exact"/>
        <w:ind w:firstLine="480" w:firstLineChars="200"/>
        <w:rPr>
          <w:rFonts w:ascii="方正仿宋_GBK" w:hAnsi="宋体" w:eastAsia="方正仿宋_GBK" w:cs="Times New Roman"/>
          <w:sz w:val="24"/>
          <w:szCs w:val="24"/>
        </w:rPr>
      </w:pPr>
      <w:bookmarkStart w:id="149" w:name="_Toc38358147"/>
      <w:bookmarkStart w:id="150" w:name="OLE_LINK10"/>
      <w:bookmarkStart w:id="151" w:name="OLE_LINK11"/>
      <w:r>
        <w:rPr>
          <w:rFonts w:hint="eastAsia" w:ascii="方正仿宋_GBK" w:hAnsi="宋体" w:eastAsia="方正仿宋_GBK" w:cs="Times New Roman"/>
          <w:sz w:val="24"/>
          <w:szCs w:val="24"/>
        </w:rPr>
        <w:t>（一）按照“第四篇  项目商务需求”提供相应资料</w:t>
      </w:r>
      <w:bookmarkEnd w:id="149"/>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（二）商务响应偏离表</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w:t>
      </w:r>
    </w:p>
    <w:p>
      <w:pPr>
        <w:pStyle w:val="3"/>
        <w:spacing w:line="240" w:lineRule="auto"/>
        <w:rPr>
          <w:rFonts w:ascii="微软雅黑" w:hAnsi="微软雅黑" w:eastAsia="微软雅黑" w:cs="微软雅黑"/>
          <w:sz w:val="24"/>
          <w:szCs w:val="24"/>
        </w:rPr>
      </w:pPr>
      <w:bookmarkStart w:id="152" w:name="_Toc4282"/>
      <w:r>
        <w:rPr>
          <w:rFonts w:hint="eastAsia" w:ascii="微软雅黑" w:hAnsi="微软雅黑" w:eastAsia="微软雅黑" w:cs="微软雅黑"/>
          <w:sz w:val="24"/>
          <w:szCs w:val="24"/>
        </w:rPr>
        <w:t>四、资格条件及其他</w:t>
      </w:r>
      <w:bookmarkEnd w:id="152"/>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（二）组织机构代码证复印件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（三）法定代表人身份证明书（格式）</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000000"/>
          <w:sz w:val="24"/>
          <w:szCs w:val="24"/>
          <w:highlight w:val="yellow"/>
        </w:rPr>
      </w:pPr>
      <w:r>
        <w:rPr>
          <w:rFonts w:hint="eastAsia" w:ascii="方正仿宋_GBK" w:hAnsi="宋体" w:eastAsia="方正仿宋_GBK" w:cs="Times New Roman"/>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（六）书面声明（格式）</w:t>
      </w:r>
    </w:p>
    <w:p>
      <w:pPr>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（七）税务登记证（副本）复印件</w:t>
      </w:r>
    </w:p>
    <w:p>
      <w:pPr>
        <w:spacing w:line="400" w:lineRule="exact"/>
        <w:ind w:firstLine="480" w:firstLineChars="200"/>
        <w:rPr>
          <w:rFonts w:ascii="方正仿宋_GBK" w:hAnsi="宋体" w:eastAsia="方正仿宋_GBK" w:cs="Times New Roman"/>
          <w:color w:val="000000"/>
          <w:sz w:val="24"/>
          <w:szCs w:val="24"/>
        </w:rPr>
      </w:pPr>
      <w:r>
        <w:rPr>
          <w:rFonts w:hint="eastAsia" w:ascii="方正仿宋_GBK" w:hAnsi="宋体" w:eastAsia="方正仿宋_GBK" w:cs="Times New Roman"/>
          <w:sz w:val="24"/>
          <w:szCs w:val="24"/>
        </w:rPr>
        <w:t>（八）社会保险缴纳证明材料</w:t>
      </w:r>
      <w:r>
        <w:rPr>
          <w:rFonts w:hint="eastAsia" w:ascii="方正仿宋_GBK" w:hAnsi="宋体" w:eastAsia="方正仿宋_GBK" w:cs="Times New Roman"/>
          <w:color w:val="000000"/>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sz w:val="24"/>
          <w:szCs w:val="24"/>
        </w:rPr>
      </w:pPr>
      <w:r>
        <w:rPr>
          <w:rFonts w:hint="eastAsia" w:ascii="方正仿宋_GBK" w:hAnsi="宋体" w:eastAsia="方正仿宋_GBK" w:cs="Times New Roman"/>
          <w:sz w:val="24"/>
          <w:szCs w:val="24"/>
        </w:rPr>
        <w:t>（九）特定资格条件证书或证明文件</w:t>
      </w:r>
      <w:r>
        <w:rPr>
          <w:rFonts w:hint="eastAsia" w:ascii="仿宋" w:hAnsi="仿宋" w:eastAsia="仿宋" w:cs="仿宋"/>
          <w:sz w:val="24"/>
          <w:szCs w:val="24"/>
        </w:rPr>
        <w:t>（如果有）</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olor w:val="000000"/>
          <w:sz w:val="24"/>
          <w:szCs w:val="24"/>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spacing w:line="240" w:lineRule="auto"/>
        <w:rPr>
          <w:rFonts w:ascii="微软雅黑" w:hAnsi="微软雅黑" w:eastAsia="微软雅黑" w:cs="微软雅黑"/>
          <w:sz w:val="24"/>
          <w:szCs w:val="24"/>
        </w:rPr>
      </w:pPr>
      <w:bookmarkStart w:id="153" w:name="_Toc20479"/>
      <w:r>
        <w:rPr>
          <w:rFonts w:hint="eastAsia" w:ascii="微软雅黑" w:hAnsi="微软雅黑" w:eastAsia="微软雅黑" w:cs="微软雅黑"/>
          <w:sz w:val="24"/>
          <w:szCs w:val="24"/>
        </w:rPr>
        <w:t>五、其他应提供的资料</w:t>
      </w:r>
      <w:bookmarkEnd w:id="153"/>
    </w:p>
    <w:p>
      <w:pPr>
        <w:spacing w:line="44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（一）其他资料</w:t>
      </w:r>
    </w:p>
    <w:bookmarkEnd w:id="150"/>
    <w:bookmarkEnd w:id="151"/>
    <w:p>
      <w:pPr>
        <w:spacing w:line="440" w:lineRule="exact"/>
        <w:ind w:firstLine="720" w:firstLineChars="300"/>
        <w:rPr>
          <w:rFonts w:ascii="方正仿宋_GBK" w:hAnsi="宋体" w:eastAsia="方正仿宋_GBK" w:cs="Times New Roman"/>
          <w:sz w:val="24"/>
          <w:szCs w:val="24"/>
        </w:rPr>
      </w:pPr>
      <w:r>
        <w:rPr>
          <w:rFonts w:hint="eastAsia" w:ascii="方正仿宋_GBK" w:hAnsi="宋体" w:eastAsia="方正仿宋_GBK" w:cs="Times New Roman"/>
          <w:sz w:val="24"/>
          <w:szCs w:val="24"/>
        </w:rPr>
        <w:t>1.其他与项目有关的资料</w:t>
      </w:r>
    </w:p>
    <w:p>
      <w:pPr>
        <w:snapToGrid w:val="0"/>
        <w:spacing w:line="360" w:lineRule="auto"/>
        <w:rPr>
          <w:rFonts w:ascii="宋体" w:hAnsi="宋体" w:eastAsia="宋体" w:cs="Times New Roman"/>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6"/>
        </w:numPr>
        <w:ind w:firstLineChars="0"/>
        <w:rPr>
          <w:b/>
        </w:rPr>
      </w:pPr>
      <w:bookmarkStart w:id="154" w:name="_Toc342913419"/>
      <w:bookmarkStart w:id="155" w:name="_Toc485108796"/>
      <w:bookmarkStart w:id="156" w:name="_Toc480979018"/>
      <w:bookmarkStart w:id="157" w:name="_Toc313888360"/>
      <w:bookmarkStart w:id="158" w:name="_Toc313008356"/>
      <w:bookmarkStart w:id="159" w:name="_Toc12789073"/>
      <w:bookmarkStart w:id="160" w:name="_Toc283382454"/>
      <w:r>
        <w:rPr>
          <w:rFonts w:hint="eastAsia"/>
          <w:b/>
        </w:rPr>
        <w:t>经济部分</w:t>
      </w:r>
      <w:bookmarkEnd w:id="154"/>
      <w:bookmarkEnd w:id="155"/>
      <w:bookmarkEnd w:id="156"/>
      <w:bookmarkEnd w:id="157"/>
      <w:bookmarkEnd w:id="158"/>
    </w:p>
    <w:p>
      <w:pPr>
        <w:pStyle w:val="180"/>
        <w:ind w:left="450" w:firstLine="0" w:firstLineChars="0"/>
        <w:rPr>
          <w:b/>
        </w:rPr>
      </w:pPr>
    </w:p>
    <w:bookmarkEnd w:id="159"/>
    <w:bookmarkEnd w:id="160"/>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比选报价函</w:t>
      </w:r>
    </w:p>
    <w:p>
      <w:pPr>
        <w:tabs>
          <w:tab w:val="left" w:pos="6300"/>
        </w:tabs>
        <w:snapToGrid w:val="0"/>
        <w:spacing w:line="312" w:lineRule="auto"/>
        <w:rPr>
          <w:rFonts w:ascii="方正仿宋_GBK" w:hAnsi="宋体" w:eastAsia="方正仿宋_GBK" w:cs="Times New Roman"/>
          <w:sz w:val="24"/>
          <w:szCs w:val="24"/>
        </w:rPr>
      </w:pP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4"/>
        </w:rPr>
        <w:t>：</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1、愿意按照比选文件中的一切要求，提供本项目的技术服务、商务需求，</w:t>
      </w:r>
      <w:r>
        <w:rPr>
          <w:rFonts w:hint="eastAsia" w:ascii="微软雅黑" w:hAnsi="微软雅黑" w:eastAsia="微软雅黑" w:cs="微软雅黑"/>
          <w:sz w:val="24"/>
          <w:szCs w:val="24"/>
        </w:rPr>
        <w:t>初始报价见后面的（二）分项报价表。</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地址：  </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电话：                           传真：</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网址：                           邮编：</w:t>
      </w:r>
    </w:p>
    <w:p>
      <w:pPr>
        <w:tabs>
          <w:tab w:val="left" w:pos="6300"/>
        </w:tabs>
        <w:snapToGrid w:val="0"/>
        <w:spacing w:line="360" w:lineRule="auto"/>
        <w:ind w:firstLine="57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p>
    <w:p>
      <w:pPr>
        <w:snapToGrid w:val="0"/>
        <w:spacing w:line="360" w:lineRule="auto"/>
        <w:ind w:firstLine="480" w:firstLineChars="200"/>
        <w:rPr>
          <w:rFonts w:ascii="方正仿宋_GBK" w:hAnsi="宋体" w:eastAsia="方正仿宋_GBK" w:cs="Times New Roman"/>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sz w:val="24"/>
          <w:szCs w:val="24"/>
        </w:rPr>
        <w:t xml:space="preserve">                               年   月   日</w:t>
      </w:r>
    </w:p>
    <w:p>
      <w:pPr>
        <w:tabs>
          <w:tab w:val="left" w:pos="2895"/>
        </w:tabs>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（二）明细报价表</w:t>
      </w:r>
    </w:p>
    <w:p>
      <w:pPr>
        <w:snapToGrid w:val="0"/>
        <w:spacing w:line="360" w:lineRule="auto"/>
        <w:jc w:val="center"/>
        <w:rPr>
          <w:rFonts w:ascii="方正仿宋_GBK" w:hAnsi="宋体" w:eastAsia="方正仿宋_GBK" w:cs="Times New Roman"/>
          <w:sz w:val="24"/>
          <w:szCs w:val="24"/>
        </w:rPr>
      </w:pPr>
      <w:r>
        <w:rPr>
          <w:rFonts w:hint="eastAsia" w:ascii="方正仿宋_GBK" w:hAnsi="Times New Roman" w:eastAsia="方正仿宋_GBK" w:cs="Times New Roman"/>
          <w:b/>
          <w:sz w:val="28"/>
          <w:szCs w:val="28"/>
        </w:rPr>
        <w:t>明细报价表</w:t>
      </w:r>
      <w:r>
        <w:rPr>
          <w:rFonts w:hint="eastAsia" w:ascii="方正仿宋_GBK" w:hAnsi="宋体" w:eastAsia="方正仿宋_GBK" w:cs="Times New Roman"/>
          <w:sz w:val="24"/>
          <w:szCs w:val="24"/>
        </w:rPr>
        <w:t>（格式自定）</w:t>
      </w:r>
    </w:p>
    <w:p>
      <w:pPr>
        <w:jc w:val="center"/>
        <w:rPr>
          <w:rFonts w:ascii="方正仿宋_GBK" w:hAnsi="Times New Roman" w:eastAsia="方正仿宋_GBK" w:cs="Times New Roman"/>
          <w:b/>
          <w:sz w:val="28"/>
          <w:szCs w:val="28"/>
        </w:rPr>
      </w:pPr>
    </w:p>
    <w:p>
      <w:pPr>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1"/>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项目名称</w:t>
            </w:r>
          </w:p>
        </w:tc>
        <w:tc>
          <w:tcPr>
            <w:tcW w:w="2693"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费用</w:t>
            </w:r>
          </w:p>
        </w:tc>
        <w:tc>
          <w:tcPr>
            <w:tcW w:w="1418"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 xml:space="preserve"> </w:t>
            </w:r>
          </w:p>
        </w:tc>
        <w:tc>
          <w:tcPr>
            <w:tcW w:w="2693" w:type="dxa"/>
            <w:vAlign w:val="center"/>
          </w:tcPr>
          <w:p>
            <w:pPr>
              <w:spacing w:line="360" w:lineRule="auto"/>
              <w:jc w:val="center"/>
              <w:rPr>
                <w:rFonts w:ascii="微软雅黑" w:hAnsi="微软雅黑" w:eastAsia="微软雅黑" w:cs="微软雅黑"/>
                <w:sz w:val="28"/>
                <w:szCs w:val="24"/>
              </w:rPr>
            </w:pPr>
          </w:p>
        </w:tc>
        <w:tc>
          <w:tcPr>
            <w:tcW w:w="1418" w:type="dxa"/>
            <w:vAlign w:val="center"/>
          </w:tcPr>
          <w:p>
            <w:pPr>
              <w:spacing w:line="360" w:lineRule="auto"/>
              <w:jc w:val="center"/>
              <w:rPr>
                <w:rFonts w:ascii="微软雅黑" w:hAnsi="微软雅黑" w:eastAsia="微软雅黑" w:cs="微软雅黑"/>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工期</w:t>
            </w:r>
          </w:p>
        </w:tc>
        <w:tc>
          <w:tcPr>
            <w:tcW w:w="4111" w:type="dxa"/>
            <w:gridSpan w:val="2"/>
            <w:vAlign w:val="center"/>
          </w:tcPr>
          <w:p>
            <w:pPr>
              <w:spacing w:line="360" w:lineRule="auto"/>
              <w:jc w:val="center"/>
              <w:rPr>
                <w:rFonts w:ascii="微软雅黑" w:hAnsi="微软雅黑" w:eastAsia="微软雅黑" w:cs="微软雅黑"/>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微软雅黑" w:hAnsi="微软雅黑" w:eastAsia="微软雅黑" w:cs="微软雅黑"/>
                <w:sz w:val="28"/>
                <w:szCs w:val="24"/>
              </w:rPr>
            </w:pPr>
            <w:r>
              <w:rPr>
                <w:rFonts w:hint="eastAsia" w:ascii="微软雅黑" w:hAnsi="微软雅黑" w:eastAsia="微软雅黑" w:cs="微软雅黑"/>
                <w:sz w:val="28"/>
                <w:szCs w:val="24"/>
              </w:rPr>
              <w:t xml:space="preserve">总价 </w:t>
            </w:r>
          </w:p>
        </w:tc>
        <w:tc>
          <w:tcPr>
            <w:tcW w:w="4111" w:type="dxa"/>
            <w:gridSpan w:val="2"/>
            <w:vAlign w:val="center"/>
          </w:tcPr>
          <w:p>
            <w:pPr>
              <w:spacing w:line="360" w:lineRule="auto"/>
              <w:jc w:val="center"/>
              <w:rPr>
                <w:rFonts w:ascii="微软雅黑" w:hAnsi="微软雅黑" w:eastAsia="微软雅黑" w:cs="微软雅黑"/>
                <w:sz w:val="28"/>
                <w:szCs w:val="24"/>
              </w:rPr>
            </w:pPr>
          </w:p>
        </w:tc>
      </w:tr>
    </w:tbl>
    <w:p>
      <w:pPr>
        <w:spacing w:before="240" w:beforeLines="100" w:line="360" w:lineRule="auto"/>
        <w:rPr>
          <w:rFonts w:ascii="微软雅黑" w:hAnsi="微软雅黑" w:eastAsia="微软雅黑" w:cs="微软雅黑"/>
          <w:sz w:val="22"/>
          <w:szCs w:val="32"/>
        </w:rPr>
      </w:pPr>
      <w:r>
        <w:rPr>
          <w:rFonts w:hint="eastAsia" w:ascii="微软雅黑" w:hAnsi="微软雅黑" w:eastAsia="微软雅黑" w:cs="微软雅黑"/>
          <w:sz w:val="24"/>
          <w:szCs w:val="36"/>
        </w:rPr>
        <w:t>备注：响应报价为包干价，包含但不限于人工费、材料费、保险费、税费等各项费用。</w:t>
      </w:r>
    </w:p>
    <w:p>
      <w:pPr>
        <w:snapToGrid w:val="0"/>
        <w:spacing w:line="500" w:lineRule="exact"/>
        <w:rPr>
          <w:rFonts w:ascii="方正仿宋_GBK" w:hAnsi="宋体" w:eastAsia="方正仿宋_GBK" w:cs="Times New Roman"/>
          <w:sz w:val="24"/>
          <w:szCs w:val="28"/>
        </w:rPr>
      </w:pPr>
    </w:p>
    <w:p>
      <w:pPr>
        <w:keepNext/>
        <w:keepLines/>
        <w:spacing w:before="260" w:after="260" w:line="413" w:lineRule="auto"/>
        <w:outlineLvl w:val="2"/>
        <w:rPr>
          <w:rFonts w:ascii="Times New Roman" w:hAnsi="Times New Roman" w:eastAsia="宋体" w:cs="Times New Roman"/>
          <w:b/>
          <w:sz w:val="32"/>
          <w:szCs w:val="20"/>
        </w:rPr>
      </w:pPr>
    </w:p>
    <w:p>
      <w:pPr>
        <w:snapToGrid w:val="0"/>
        <w:spacing w:line="50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rPr>
        <w:t>注：1、请供应商完整填写本表。</w:t>
      </w:r>
    </w:p>
    <w:p>
      <w:pPr>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2、该表可扩展</w:t>
      </w:r>
      <w:bookmarkStart w:id="161" w:name="OLE_LINK2"/>
      <w:bookmarkStart w:id="162" w:name="OLE_LINK1"/>
      <w:r>
        <w:rPr>
          <w:rFonts w:hint="eastAsia" w:ascii="方正仿宋_GBK" w:hAnsi="宋体" w:eastAsia="方正仿宋_GBK" w:cs="Times New Roman"/>
          <w:sz w:val="24"/>
          <w:szCs w:val="28"/>
        </w:rPr>
        <w:t>，并逐页签字或盖章。</w:t>
      </w:r>
      <w:bookmarkEnd w:id="161"/>
      <w:bookmarkEnd w:id="162"/>
    </w:p>
    <w:p>
      <w:pPr>
        <w:spacing w:line="360" w:lineRule="auto"/>
        <w:jc w:val="center"/>
        <w:rPr>
          <w:rFonts w:ascii="方正仿宋_GBK" w:hAnsi="宋体" w:eastAsia="方正仿宋_GBK" w:cs="Times New Roman"/>
          <w:sz w:val="24"/>
          <w:szCs w:val="24"/>
        </w:r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p>
    <w:p>
      <w:pPr>
        <w:spacing w:line="360" w:lineRule="auto"/>
        <w:rPr>
          <w:rFonts w:ascii="Times New Roman" w:hAnsi="Times New Roman" w:eastAsia="宋体" w:cs="Times New Roman"/>
          <w:sz w:val="28"/>
          <w:szCs w:val="20"/>
        </w:rPr>
      </w:pPr>
      <w:r>
        <w:rPr>
          <w:rFonts w:hint="eastAsia" w:ascii="方正仿宋_GBK" w:hAnsi="宋体" w:eastAsia="方正仿宋_GBK" w:cs="Times New Roman"/>
          <w:sz w:val="24"/>
          <w:szCs w:val="24"/>
        </w:rPr>
        <w:t xml:space="preserve">                                              供应商名称（公章）：</w:t>
      </w:r>
    </w:p>
    <w:p>
      <w:pPr>
        <w:spacing w:line="360" w:lineRule="auto"/>
        <w:ind w:right="480" w:firstLine="6480" w:firstLineChars="2700"/>
        <w:rPr>
          <w:rFonts w:ascii="方正仿宋_GBK" w:hAnsi="宋体" w:eastAsia="方正仿宋_GBK" w:cs="Times New Roman"/>
          <w:sz w:val="24"/>
          <w:szCs w:val="24"/>
        </w:rPr>
      </w:pPr>
      <w:r>
        <w:rPr>
          <w:rFonts w:hint="eastAsia" w:ascii="方正仿宋_GBK" w:hAnsi="宋体" w:eastAsia="方正仿宋_GBK" w:cs="Times New Roman"/>
          <w:sz w:val="24"/>
          <w:szCs w:val="24"/>
        </w:rPr>
        <w:t>年     月    日</w:t>
      </w:r>
    </w:p>
    <w:p>
      <w:pPr>
        <w:snapToGrid w:val="0"/>
        <w:spacing w:line="360" w:lineRule="auto"/>
        <w:ind w:firstLine="480" w:firstLineChars="200"/>
        <w:rPr>
          <w:rFonts w:ascii="方正仿宋_GBK" w:hAnsi="宋体" w:eastAsia="方正仿宋_GBK" w:cs="Times New Roman"/>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rPr>
      </w:pPr>
      <w:bookmarkStart w:id="163" w:name="_Toc342913420"/>
      <w:bookmarkStart w:id="164" w:name="_Toc313008357"/>
      <w:bookmarkStart w:id="165" w:name="_Toc313888361"/>
      <w:bookmarkStart w:id="166" w:name="_Toc480979019"/>
      <w:bookmarkStart w:id="167" w:name="_Toc485108797"/>
      <w:r>
        <w:rPr>
          <w:rFonts w:hint="eastAsia"/>
          <w:b/>
        </w:rPr>
        <w:t>二、服务部分</w:t>
      </w:r>
      <w:bookmarkEnd w:id="163"/>
      <w:bookmarkEnd w:id="164"/>
      <w:bookmarkEnd w:id="165"/>
      <w:bookmarkEnd w:id="166"/>
      <w:bookmarkEnd w:id="167"/>
    </w:p>
    <w:p>
      <w:pPr>
        <w:snapToGrid w:val="0"/>
        <w:spacing w:line="360" w:lineRule="auto"/>
        <w:ind w:firstLine="560" w:firstLineChars="200"/>
        <w:rPr>
          <w:rFonts w:ascii="微软雅黑" w:hAnsi="微软雅黑" w:eastAsia="微软雅黑" w:cs="微软雅黑"/>
          <w:bCs/>
          <w:sz w:val="28"/>
          <w:szCs w:val="28"/>
        </w:rPr>
      </w:pPr>
      <w:r>
        <w:rPr>
          <w:rFonts w:hint="eastAsia" w:ascii="微软雅黑" w:hAnsi="微软雅黑" w:eastAsia="微软雅黑" w:cs="微软雅黑"/>
          <w:bCs/>
          <w:sz w:val="28"/>
          <w:szCs w:val="28"/>
        </w:rPr>
        <w:t>（一）按照“第三篇  项目服务需求”提供相应资料</w:t>
      </w:r>
    </w:p>
    <w:p>
      <w:pPr>
        <w:tabs>
          <w:tab w:val="left" w:pos="6300"/>
        </w:tabs>
        <w:snapToGrid w:val="0"/>
        <w:spacing w:line="500" w:lineRule="exact"/>
        <w:ind w:firstLine="570"/>
        <w:rPr>
          <w:rFonts w:ascii="方正仿宋_GBK" w:hAnsi="宋体" w:eastAsia="方正仿宋_GBK" w:cs="Times New Roman"/>
          <w:sz w:val="24"/>
          <w:szCs w:val="24"/>
        </w:rPr>
      </w:pPr>
      <w:r>
        <w:rPr>
          <w:rFonts w:ascii="方正仿宋_GBK" w:hAnsi="宋体" w:eastAsia="方正仿宋_GBK" w:cs="Times New Roman"/>
          <w:sz w:val="28"/>
          <w:szCs w:val="24"/>
        </w:rPr>
        <w:br w:type="page"/>
      </w:r>
      <w:r>
        <w:rPr>
          <w:rFonts w:hint="eastAsia" w:ascii="方正仿宋_GBK" w:hAnsi="宋体" w:eastAsia="方正仿宋_GBK" w:cs="Times New Roman"/>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r>
              <w:rPr>
                <w:rFonts w:hint="eastAsia" w:ascii="方正仿宋_GBK" w:hAnsi="宋体" w:eastAsia="方正仿宋_GBK" w:cs="Times New Roman"/>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szCs w:val="21"/>
              </w:rPr>
            </w:pPr>
          </w:p>
        </w:tc>
      </w:tr>
    </w:tbl>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720" w:firstLineChars="3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0"/>
        </w:rPr>
        <w:t>5.若“响应情况”栏中仅填写“无偏离”或“有偏离”等内容而未作实质性参数描述，该供应商将</w:t>
      </w:r>
      <w:r>
        <w:rPr>
          <w:rFonts w:hint="eastAsia" w:ascii="方正仿宋_GBK" w:hAnsi="宋体" w:eastAsia="方正仿宋_GBK" w:cs="Times New Roman"/>
          <w:sz w:val="24"/>
          <w:szCs w:val="24"/>
        </w:rPr>
        <w:t>失去成为成交供应商的资格，仅保留其合格供应商的身份。</w:t>
      </w:r>
    </w:p>
    <w:p>
      <w:pPr>
        <w:rPr>
          <w:b/>
        </w:rPr>
      </w:pPr>
      <w:r>
        <w:rPr>
          <w:rFonts w:hAnsi="Times New Roman"/>
          <w:sz w:val="32"/>
          <w:szCs w:val="20"/>
        </w:rPr>
        <w:br w:type="page"/>
      </w:r>
      <w:bookmarkStart w:id="168" w:name="_Toc480979020"/>
      <w:bookmarkStart w:id="169" w:name="_Toc342913421"/>
      <w:bookmarkStart w:id="170" w:name="_Toc313888362"/>
      <w:bookmarkStart w:id="171" w:name="_Toc485108798"/>
      <w:bookmarkStart w:id="172" w:name="_Toc313008358"/>
      <w:r>
        <w:rPr>
          <w:rFonts w:hint="eastAsia"/>
          <w:b/>
        </w:rPr>
        <w:t>三、商务部分</w:t>
      </w:r>
      <w:bookmarkEnd w:id="168"/>
      <w:bookmarkEnd w:id="169"/>
      <w:bookmarkEnd w:id="170"/>
      <w:bookmarkEnd w:id="171"/>
      <w:bookmarkEnd w:id="172"/>
    </w:p>
    <w:p>
      <w:pPr>
        <w:spacing w:line="360" w:lineRule="auto"/>
        <w:ind w:firstLine="560" w:firstLineChars="200"/>
        <w:rPr>
          <w:rFonts w:ascii="仿宋" w:hAnsi="仿宋" w:eastAsia="仿宋" w:cs="仿宋"/>
          <w:sz w:val="28"/>
          <w:szCs w:val="28"/>
        </w:rPr>
      </w:pPr>
      <w:r>
        <w:rPr>
          <w:rFonts w:hint="eastAsia" w:ascii="微软雅黑" w:hAnsi="微软雅黑" w:eastAsia="微软雅黑" w:cs="微软雅黑"/>
          <w:sz w:val="28"/>
          <w:szCs w:val="28"/>
        </w:rPr>
        <w:t>（一）按照“第四篇  项目商务需求”提供相应资料</w:t>
      </w:r>
    </w:p>
    <w:p>
      <w:pPr>
        <w:snapToGrid w:val="0"/>
        <w:spacing w:line="360" w:lineRule="auto"/>
        <w:ind w:firstLine="560" w:firstLineChars="200"/>
        <w:rPr>
          <w:rFonts w:ascii="方正仿宋_GBK" w:hAnsi="Times New Roman" w:eastAsia="方正仿宋_GBK" w:cs="Times New Roman"/>
          <w:b/>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sz w:val="24"/>
          <w:szCs w:val="24"/>
        </w:rPr>
      </w:pPr>
      <w:bookmarkStart w:id="173" w:name="_Toc283382459"/>
      <w:r>
        <w:rPr>
          <w:rFonts w:hint="eastAsia" w:ascii="方正仿宋_GBK" w:hAnsi="宋体" w:eastAsia="方正仿宋_GBK" w:cs="Times New Roman"/>
          <w:sz w:val="24"/>
          <w:szCs w:val="24"/>
        </w:rPr>
        <w:t>（二）商务响应偏离表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商务响应偏离表</w:t>
      </w:r>
    </w:p>
    <w:p>
      <w:pPr>
        <w:snapToGrid w:val="0"/>
        <w:spacing w:line="500" w:lineRule="exact"/>
        <w:ind w:firstLine="48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项目名称：</w:t>
      </w:r>
    </w:p>
    <w:p>
      <w:pPr>
        <w:snapToGrid w:val="0"/>
        <w:spacing w:line="360" w:lineRule="auto"/>
        <w:ind w:firstLine="465"/>
        <w:rPr>
          <w:rFonts w:ascii="方正仿宋_GBK" w:hAnsi="宋体" w:eastAsia="方正仿宋_GBK" w:cs="Times New Roman"/>
          <w:sz w:val="24"/>
          <w:szCs w:val="24"/>
        </w:rPr>
      </w:pPr>
      <w:r>
        <w:rPr>
          <w:rFonts w:hint="eastAsia" w:ascii="方正仿宋_GBK" w:hAnsi="宋体" w:eastAsia="方正仿宋_GBK" w:cs="Times New Roman"/>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p>
        </w:tc>
      </w:tr>
    </w:tbl>
    <w:p>
      <w:pPr>
        <w:snapToGrid w:val="0"/>
        <w:spacing w:line="360" w:lineRule="auto"/>
        <w:ind w:firstLine="465"/>
        <w:rPr>
          <w:rFonts w:ascii="方正仿宋_GBK" w:hAnsi="宋体" w:eastAsia="方正仿宋_GBK" w:cs="Times New Roman"/>
          <w:sz w:val="24"/>
          <w:szCs w:val="24"/>
        </w:rPr>
      </w:pPr>
    </w:p>
    <w:p>
      <w:pPr>
        <w:spacing w:line="500" w:lineRule="exact"/>
        <w:ind w:firstLine="600" w:firstLineChars="2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                                      法定代表人授权代表：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ind w:firstLine="360" w:firstLineChars="15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年     月     日</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.本表即为对本项目“第四篇 项目商务需求”中所列服务要求进行比较和响应；</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2.该表必须按照比选要求逐条如实填写，根据响应情况在“差异说明”项填写正偏离或负偏离及原因，完全符合的填写“无差异”；</w:t>
      </w:r>
    </w:p>
    <w:p>
      <w:pPr>
        <w:tabs>
          <w:tab w:val="left" w:pos="6300"/>
        </w:tabs>
        <w:snapToGrid w:val="0"/>
        <w:spacing w:line="44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440" w:lineRule="exact"/>
        <w:ind w:firstLine="480" w:firstLineChars="200"/>
        <w:rPr>
          <w:rFonts w:ascii="仿宋" w:hAnsi="仿宋" w:eastAsia="仿宋" w:cs="仿宋"/>
          <w:color w:val="C00000"/>
          <w:sz w:val="24"/>
          <w:szCs w:val="28"/>
        </w:rPr>
      </w:pPr>
      <w:r>
        <w:rPr>
          <w:rFonts w:hint="eastAsia" w:ascii="方正仿宋_GBK" w:hAnsi="宋体" w:eastAsia="方正仿宋_GBK" w:cs="Times New Roman"/>
          <w:sz w:val="24"/>
          <w:szCs w:val="20"/>
        </w:rPr>
        <w:t>4. 若“响应情况”栏中仅填写“无偏离”或“有偏离”等内容而未作实质性参数描述，该供应商将失去成为成交供应商的资格，仅保留其合格供应商的身份。</w:t>
      </w:r>
    </w:p>
    <w:p>
      <w:pPr>
        <w:spacing w:line="360" w:lineRule="auto"/>
        <w:ind w:firstLine="480" w:firstLineChars="200"/>
        <w:rPr>
          <w:rFonts w:ascii="方正仿宋_GBK" w:hAnsi="宋体" w:eastAsia="方正仿宋_GBK" w:cs="Times New Roman"/>
          <w:sz w:val="24"/>
          <w:szCs w:val="24"/>
        </w:rPr>
      </w:pPr>
    </w:p>
    <w:p>
      <w:pPr>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sz w:val="24"/>
          <w:szCs w:val="20"/>
        </w:rPr>
      </w:pPr>
    </w:p>
    <w:p>
      <w:pPr>
        <w:spacing w:line="360" w:lineRule="auto"/>
        <w:ind w:firstLine="560" w:firstLineChars="200"/>
        <w:rPr>
          <w:rFonts w:ascii="方正仿宋_GBK" w:hAnsi="宋体" w:eastAsia="方正仿宋_GBK" w:cs="Times New Roman"/>
          <w:sz w:val="24"/>
          <w:szCs w:val="24"/>
        </w:rPr>
      </w:pPr>
      <w:r>
        <w:rPr>
          <w:rFonts w:ascii="Times New Roman" w:hAnsi="Times New Roman" w:eastAsia="宋体" w:cs="Times New Roman"/>
          <w:sz w:val="28"/>
          <w:szCs w:val="20"/>
        </w:rPr>
        <w:br w:type="page"/>
      </w:r>
    </w:p>
    <w:p>
      <w:pPr>
        <w:rPr>
          <w:b/>
        </w:rPr>
      </w:pPr>
      <w:r>
        <w:rPr>
          <w:rFonts w:hint="eastAsia"/>
          <w:b/>
        </w:rPr>
        <w:t>四、资格条件及其他</w:t>
      </w:r>
    </w:p>
    <w:p>
      <w:pPr>
        <w:tabs>
          <w:tab w:val="left" w:pos="6300"/>
        </w:tabs>
        <w:snapToGrid w:val="0"/>
        <w:spacing w:line="500" w:lineRule="exact"/>
        <w:ind w:firstLine="570"/>
        <w:rPr>
          <w:rFonts w:ascii="方正仿宋_GBK" w:hAnsi="宋体" w:eastAsia="方正仿宋_GBK" w:cs="Times New Roman"/>
          <w:sz w:val="28"/>
          <w:szCs w:val="20"/>
        </w:rPr>
      </w:pPr>
      <w:r>
        <w:rPr>
          <w:rFonts w:hint="eastAsia" w:ascii="方正仿宋_GBK" w:hAnsi="宋体" w:eastAsia="方正仿宋_GBK" w:cs="Times New Roman"/>
          <w:sz w:val="28"/>
          <w:szCs w:val="20"/>
        </w:rPr>
        <w:t>（一）</w:t>
      </w:r>
      <w:r>
        <w:rPr>
          <w:rFonts w:hint="eastAsia" w:ascii="方正仿宋_GBK" w:hAnsi="宋体" w:eastAsia="方正仿宋_GBK" w:cs="Times New Roman"/>
          <w:sz w:val="28"/>
          <w:szCs w:val="28"/>
        </w:rPr>
        <w:t>营业执照（副本）或事业单位法人证书（副本）复印件</w:t>
      </w:r>
      <w:r>
        <w:rPr>
          <w:rFonts w:hint="eastAsia" w:ascii="方正仿宋_GBK" w:hAnsi="宋体" w:eastAsia="方正仿宋_GBK"/>
          <w:sz w:val="28"/>
          <w:szCs w:val="28"/>
        </w:rPr>
        <w:t>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sz w:val="28"/>
          <w:szCs w:val="20"/>
        </w:rPr>
      </w:pPr>
      <w:r>
        <w:rPr>
          <w:rFonts w:ascii="方正仿宋_GBK" w:hAnsi="宋体" w:eastAsia="方正仿宋_GBK" w:cs="Times New Roman"/>
          <w:b/>
          <w:sz w:val="24"/>
          <w:szCs w:val="24"/>
        </w:rPr>
        <w:br w:type="page"/>
      </w:r>
      <w:bookmarkEnd w:id="173"/>
      <w:bookmarkStart w:id="174" w:name="_Toc342913422"/>
      <w:bookmarkStart w:id="175" w:name="_Toc313008359"/>
      <w:bookmarkStart w:id="176" w:name="_Toc313888363"/>
    </w:p>
    <w:p>
      <w:pPr>
        <w:snapToGrid w:val="0"/>
        <w:spacing w:line="400" w:lineRule="exact"/>
        <w:ind w:firstLine="560" w:firstLineChars="200"/>
        <w:rPr>
          <w:rFonts w:ascii="方正仿宋_GBK" w:hAnsi="宋体" w:eastAsia="方正仿宋_GBK" w:cs="Times New Roman"/>
          <w:sz w:val="24"/>
          <w:szCs w:val="24"/>
        </w:rPr>
      </w:pPr>
      <w:r>
        <w:rPr>
          <w:rFonts w:hint="eastAsia" w:ascii="方正仿宋_GBK" w:hAnsi="宋体" w:eastAsia="方正仿宋_GBK" w:cs="Times New Roman"/>
          <w:sz w:val="28"/>
          <w:szCs w:val="20"/>
        </w:rPr>
        <w:t>（二）</w:t>
      </w:r>
      <w:r>
        <w:rPr>
          <w:rFonts w:hint="eastAsia" w:ascii="方正仿宋_GBK" w:hAnsi="宋体" w:eastAsia="方正仿宋_GBK" w:cs="Times New Roman"/>
          <w:sz w:val="24"/>
          <w:szCs w:val="24"/>
        </w:rPr>
        <w:t>组织机构代码证复印件</w:t>
      </w:r>
    </w:p>
    <w:p>
      <w:pPr>
        <w:widowControl/>
        <w:ind w:firstLine="560" w:firstLineChars="200"/>
        <w:jc w:val="left"/>
        <w:rPr>
          <w:rFonts w:ascii="方正仿宋_GBK" w:hAnsi="宋体" w:eastAsia="方正仿宋_GBK" w:cs="Times New Roman"/>
          <w:sz w:val="28"/>
          <w:szCs w:val="20"/>
        </w:rPr>
      </w:pPr>
      <w:r>
        <w:rPr>
          <w:rFonts w:ascii="方正仿宋_GBK" w:hAnsi="宋体" w:eastAsia="方正仿宋_GBK" w:cs="Times New Roman"/>
          <w:sz w:val="28"/>
          <w:szCs w:val="20"/>
        </w:rPr>
        <w:br w:type="page"/>
      </w:r>
      <w:bookmarkEnd w:id="174"/>
      <w:bookmarkEnd w:id="175"/>
      <w:bookmarkEnd w:id="176"/>
      <w:r>
        <w:rPr>
          <w:rFonts w:hint="eastAsia" w:ascii="方正仿宋_GBK" w:hAnsi="宋体" w:eastAsia="方正仿宋_GBK" w:cs="Times New Roman"/>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项目名称：</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（法定代表人姓名）在</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（供应商名称）任</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（职务名称）职务，是（供应商名称）</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的法定代表人。</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特此证明。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年   月   日</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p>
    <w:p>
      <w:pPr>
        <w:widowControl/>
        <w:ind w:firstLine="480" w:firstLineChars="200"/>
        <w:jc w:val="left"/>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8"/>
          <w:szCs w:val="20"/>
        </w:rPr>
      </w:pPr>
      <w:r>
        <w:rPr>
          <w:rFonts w:ascii="Times New Roman" w:hAnsi="Times New Roman" w:eastAsia="宋体" w:cs="Times New Roman"/>
          <w:sz w:val="28"/>
          <w:szCs w:val="20"/>
        </w:rPr>
        <w:br w:type="column"/>
      </w:r>
      <w:r>
        <w:rPr>
          <w:rFonts w:hint="eastAsia" w:ascii="方正仿宋_GBK" w:hAnsi="宋体" w:eastAsia="方正仿宋_GBK" w:cs="Times New Roman"/>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（供应商法定代表人名称）是</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（供应商名称）的法定代表人，特授权</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sz w:val="24"/>
          <w:szCs w:val="28"/>
        </w:rPr>
      </w:pPr>
      <w:r>
        <w:rPr>
          <w:rFonts w:hint="eastAsia" w:ascii="方正仿宋_GBK" w:hAnsi="宋体" w:eastAsia="方正仿宋_GBK" w:cs="Times New Roman"/>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sz w:val="24"/>
          <w:szCs w:val="28"/>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sz w:val="24"/>
          <w:szCs w:val="20"/>
        </w:rPr>
      </w:pPr>
      <w:r>
        <w:rPr>
          <w:rFonts w:hint="eastAsia" w:ascii="方正仿宋_GBK" w:hAnsi="宋体" w:eastAsia="方正仿宋_GBK" w:cs="Times New Roman"/>
          <w:sz w:val="24"/>
          <w:szCs w:val="20"/>
        </w:rPr>
        <w:t>年   月   日</w:t>
      </w:r>
    </w:p>
    <w:p>
      <w:pPr>
        <w:tabs>
          <w:tab w:val="left" w:pos="6300"/>
        </w:tabs>
        <w:snapToGrid w:val="0"/>
        <w:spacing w:line="500" w:lineRule="exact"/>
        <w:ind w:firstLine="480"/>
        <w:rPr>
          <w:rFonts w:ascii="宋体" w:hAnsi="宋体" w:eastAsia="宋体" w:cs="Times New Roman"/>
          <w:sz w:val="24"/>
          <w:szCs w:val="24"/>
        </w:rPr>
      </w:pPr>
      <w:r>
        <w:rPr>
          <w:rFonts w:ascii="宋体" w:hAnsi="宋体" w:eastAsia="宋体" w:cs="Times New Roman"/>
          <w:sz w:val="28"/>
          <w:szCs w:val="20"/>
        </w:rPr>
        <w:br w:type="column"/>
      </w:r>
      <w:r>
        <w:rPr>
          <w:rFonts w:hint="eastAsia" w:ascii="方正仿宋_GBK" w:hAnsi="宋体" w:eastAsia="方正仿宋_GBK" w:cs="Times New Roman"/>
          <w:sz w:val="28"/>
          <w:szCs w:val="20"/>
        </w:rPr>
        <w:t>（五）</w:t>
      </w:r>
      <w:r>
        <w:rPr>
          <w:rFonts w:hint="eastAsia" w:ascii="方正仿宋_GBK" w:hAnsi="宋体" w:eastAsia="方正仿宋_GBK" w:cs="Times New Roman"/>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ind w:firstLine="570"/>
        <w:jc w:val="center"/>
        <w:rPr>
          <w:rFonts w:ascii="方正仿宋_GBK" w:hAnsi="宋体" w:eastAsia="方正仿宋_GBK" w:cs="Times New Roman"/>
          <w:sz w:val="28"/>
          <w:szCs w:val="20"/>
        </w:rPr>
      </w:pPr>
    </w:p>
    <w:p>
      <w:pPr>
        <w:tabs>
          <w:tab w:val="left" w:pos="6300"/>
        </w:tabs>
        <w:snapToGrid w:val="0"/>
        <w:spacing w:line="500" w:lineRule="exact"/>
        <w:rPr>
          <w:rFonts w:ascii="方正仿宋_GBK" w:hAnsi="宋体" w:eastAsia="方正仿宋_GBK" w:cs="Times New Roman"/>
          <w:sz w:val="24"/>
          <w:szCs w:val="20"/>
        </w:rPr>
      </w:pPr>
      <w:r>
        <w:rPr>
          <w:rFonts w:hint="eastAsia" w:ascii="方正仿宋_GBK" w:hAnsi="宋体" w:eastAsia="方正仿宋_GBK" w:cs="Times New Roman"/>
          <w:sz w:val="28"/>
          <w:szCs w:val="20"/>
        </w:rPr>
        <w:t>（六）书面声明</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8"/>
        </w:rPr>
        <w:t>项目名称</w:t>
      </w:r>
      <w:r>
        <w:rPr>
          <w:rFonts w:hint="eastAsia" w:ascii="方正仿宋_GBK" w:hAnsi="宋体" w:eastAsia="方正仿宋_GBK" w:cs="Times New Roman"/>
          <w:sz w:val="24"/>
          <w:szCs w:val="20"/>
        </w:rPr>
        <w:t>：</w:t>
      </w:r>
      <w:r>
        <w:rPr>
          <w:rFonts w:hint="eastAsia" w:ascii="方正仿宋_GBK" w:hAnsi="宋体" w:eastAsia="方正仿宋_GBK" w:cs="Times New Roman"/>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sz w:val="24"/>
          <w:szCs w:val="20"/>
        </w:rPr>
      </w:pPr>
    </w:p>
    <w:p>
      <w:pPr>
        <w:tabs>
          <w:tab w:val="left" w:pos="6300"/>
        </w:tabs>
        <w:snapToGrid w:val="0"/>
        <w:spacing w:line="500" w:lineRule="exact"/>
        <w:ind w:firstLine="480" w:firstLineChars="200"/>
        <w:rPr>
          <w:rFonts w:ascii="方正仿宋_GBK" w:hAnsi="宋体" w:eastAsia="方正仿宋_GBK" w:cs="Times New Roman"/>
          <w:sz w:val="24"/>
          <w:szCs w:val="20"/>
        </w:rPr>
      </w:pPr>
      <w:r>
        <w:rPr>
          <w:rFonts w:hint="eastAsia" w:ascii="方正仿宋_GBK" w:hAnsi="宋体" w:eastAsia="方正仿宋_GBK" w:cs="Times New Roman"/>
          <w:sz w:val="24"/>
          <w:szCs w:val="20"/>
        </w:rPr>
        <w:t>致：</w:t>
      </w:r>
      <w:r>
        <w:rPr>
          <w:rFonts w:hint="eastAsia" w:ascii="方正仿宋_GBK" w:hAnsi="宋体" w:eastAsia="方正仿宋_GBK"/>
          <w:sz w:val="24"/>
          <w:szCs w:val="24"/>
          <w:u w:val="single"/>
        </w:rPr>
        <w:t>重庆医科大学附属永川医院</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spacing w:line="440" w:lineRule="exact"/>
        <w:ind w:firstLine="480" w:firstLineChars="200"/>
        <w:rPr>
          <w:rFonts w:ascii="方正仿宋_GBK" w:hAnsi="宋体" w:eastAsia="方正仿宋_GBK" w:cs="Times New Roman"/>
          <w:sz w:val="24"/>
          <w:szCs w:val="28"/>
        </w:rPr>
      </w:pP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ind w:firstLine="6480" w:firstLineChars="2700"/>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年   月   日</w:t>
      </w: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tabs>
          <w:tab w:val="left" w:pos="6300"/>
        </w:tabs>
        <w:snapToGrid w:val="0"/>
        <w:spacing w:line="500" w:lineRule="exact"/>
        <w:outlineLvl w:val="0"/>
        <w:rPr>
          <w:rFonts w:ascii="方正仿宋_GBK" w:hAnsi="宋体" w:eastAsia="方正仿宋_GBK" w:cs="Times New Roman"/>
          <w:sz w:val="24"/>
          <w:szCs w:val="24"/>
        </w:rPr>
      </w:pPr>
    </w:p>
    <w:p>
      <w:pPr>
        <w:widowControl/>
        <w:spacing w:line="400" w:lineRule="exact"/>
        <w:ind w:firstLine="560" w:firstLineChars="200"/>
        <w:jc w:val="left"/>
        <w:rPr>
          <w:rFonts w:ascii="方正仿宋_GBK" w:hAnsi="宋体" w:eastAsia="方正仿宋_GBK" w:cs="Times New Roman"/>
          <w:sz w:val="28"/>
          <w:szCs w:val="28"/>
        </w:rPr>
      </w:pPr>
      <w:bookmarkStart w:id="177" w:name="OLE_LINK7"/>
      <w:bookmarkStart w:id="178" w:name="OLE_LINK4"/>
      <w:r>
        <w:rPr>
          <w:rFonts w:hint="eastAsia" w:ascii="方正仿宋_GBK" w:hAnsi="宋体" w:eastAsia="方正仿宋_GBK" w:cs="Times New Roman"/>
          <w:sz w:val="28"/>
          <w:szCs w:val="28"/>
        </w:rPr>
        <w:t>（七）税务登记证（副本）复印件</w:t>
      </w:r>
    </w:p>
    <w:p>
      <w:pPr>
        <w:widowControl/>
        <w:spacing w:line="400" w:lineRule="exact"/>
        <w:ind w:firstLine="560" w:firstLineChars="200"/>
        <w:jc w:val="left"/>
        <w:rPr>
          <w:rFonts w:ascii="方正仿宋_GBK" w:hAnsi="宋体" w:eastAsia="方正仿宋_GBK" w:cs="Times New Roman"/>
          <w:sz w:val="28"/>
          <w:szCs w:val="28"/>
        </w:rPr>
      </w:pPr>
      <w:r>
        <w:rPr>
          <w:rFonts w:hint="eastAsia" w:ascii="方正仿宋_GBK" w:hAnsi="宋体" w:eastAsia="方正仿宋_GBK" w:cs="Times New Roman"/>
          <w:sz w:val="28"/>
          <w:szCs w:val="28"/>
        </w:rPr>
        <w:t>（八）社会保险缴纳证明材料</w:t>
      </w:r>
    </w:p>
    <w:p>
      <w:pPr>
        <w:widowControl/>
        <w:spacing w:line="400" w:lineRule="exact"/>
        <w:ind w:firstLine="480" w:firstLineChars="200"/>
        <w:jc w:val="left"/>
        <w:rPr>
          <w:rFonts w:ascii="方正仿宋_GBK" w:hAnsi="宋体" w:eastAsia="方正仿宋_GBK" w:cs="Times New Roman"/>
          <w:sz w:val="24"/>
          <w:szCs w:val="24"/>
        </w:rPr>
      </w:pPr>
      <w:r>
        <w:rPr>
          <w:rFonts w:hint="eastAsia" w:ascii="方正仿宋_GBK" w:hAnsi="宋体" w:eastAsia="方正仿宋_GBK" w:cs="Times New Roman"/>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widowControl/>
        <w:spacing w:line="400" w:lineRule="exact"/>
        <w:ind w:firstLine="560" w:firstLineChars="200"/>
        <w:jc w:val="left"/>
        <w:rPr>
          <w:rFonts w:ascii="方正仿宋_GBK" w:hAnsi="宋体" w:eastAsia="方正仿宋_GBK" w:cs="Times New Roman"/>
          <w:sz w:val="28"/>
          <w:szCs w:val="28"/>
        </w:rPr>
      </w:pPr>
    </w:p>
    <w:p>
      <w:pPr>
        <w:widowControl/>
        <w:spacing w:line="400" w:lineRule="exact"/>
        <w:ind w:firstLine="560" w:firstLineChars="200"/>
        <w:jc w:val="left"/>
        <w:rPr>
          <w:rFonts w:ascii="方正仿宋_GBK" w:hAnsi="宋体" w:eastAsia="方正仿宋_GBK" w:cs="Times New Roman"/>
          <w:sz w:val="28"/>
          <w:szCs w:val="28"/>
        </w:rPr>
      </w:pPr>
      <w:r>
        <w:rPr>
          <w:rFonts w:hint="eastAsia" w:ascii="方正仿宋_GBK" w:hAnsi="宋体" w:eastAsia="方正仿宋_GBK" w:cs="Times New Roman"/>
          <w:sz w:val="28"/>
          <w:szCs w:val="28"/>
        </w:rPr>
        <w:t>说明：供应商按“三证合一”登记制度办理营业执照的，组织机构代码证和税务登记证以供应商所提供的营业执照（副本）复印件为准。</w:t>
      </w:r>
    </w:p>
    <w:bookmarkEnd w:id="177"/>
    <w:bookmarkEnd w:id="178"/>
    <w:p>
      <w:pPr>
        <w:widowControl/>
        <w:jc w:val="left"/>
        <w:rPr>
          <w:rFonts w:ascii="方正仿宋_GBK" w:hAnsi="宋体" w:eastAsia="方正仿宋_GBK" w:cs="Times New Roman"/>
          <w:sz w:val="28"/>
          <w:szCs w:val="20"/>
        </w:rPr>
      </w:pPr>
    </w:p>
    <w:p>
      <w:pPr>
        <w:widowControl/>
        <w:jc w:val="left"/>
        <w:rPr>
          <w:rFonts w:ascii="方正仿宋_GBK" w:hAnsi="宋体" w:eastAsia="方正仿宋_GBK" w:cs="Times New Roman"/>
          <w:sz w:val="28"/>
          <w:szCs w:val="20"/>
        </w:rPr>
      </w:pPr>
    </w:p>
    <w:p>
      <w:pPr>
        <w:widowControl/>
        <w:ind w:firstLine="560" w:firstLineChars="200"/>
        <w:jc w:val="left"/>
        <w:rPr>
          <w:rFonts w:ascii="方正仿宋_GBK" w:hAnsi="宋体" w:eastAsia="方正仿宋_GBK" w:cs="Times New Roman"/>
          <w:sz w:val="28"/>
          <w:szCs w:val="20"/>
        </w:rPr>
      </w:pPr>
      <w:r>
        <w:rPr>
          <w:rFonts w:hint="eastAsia" w:ascii="方正仿宋_GBK" w:hAnsi="宋体" w:eastAsia="方正仿宋_GBK" w:cs="Times New Roman"/>
          <w:sz w:val="28"/>
          <w:szCs w:val="20"/>
        </w:rPr>
        <w:t>（九）特定资格条件证书或证明文件</w:t>
      </w:r>
      <w:r>
        <w:rPr>
          <w:rFonts w:hint="eastAsia" w:ascii="仿宋" w:hAnsi="仿宋" w:eastAsia="仿宋" w:cs="仿宋"/>
          <w:szCs w:val="28"/>
        </w:rPr>
        <w:t>（如果有）</w:t>
      </w:r>
    </w:p>
    <w:p>
      <w:pPr>
        <w:tabs>
          <w:tab w:val="left" w:pos="6300"/>
        </w:tabs>
        <w:snapToGrid w:val="0"/>
        <w:spacing w:line="500" w:lineRule="exact"/>
        <w:ind w:firstLine="560" w:firstLineChars="200"/>
        <w:rPr>
          <w:rFonts w:ascii="方正仿宋_GBK" w:hAnsi="宋体" w:eastAsia="方正仿宋_GBK"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spacing w:line="360" w:lineRule="auto"/>
        <w:ind w:firstLine="480" w:firstLineChars="200"/>
        <w:jc w:val="center"/>
        <w:rPr>
          <w:rFonts w:ascii="方正仿宋_GBK" w:hAnsi="宋体" w:eastAsia="方正仿宋_GBK" w:cs="Times New Roman"/>
          <w:sz w:val="24"/>
          <w:szCs w:val="24"/>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信用中国--行政处罚</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方正仿宋_GBK" w:hAnsi="宋体" w:eastAsia="方正仿宋_GBK" w:cs="Times New Roman"/>
          <w:color w:val="000000"/>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信用中国--失信惩戒</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信用中国--重大税收违法案件当事人名单查询</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p>
    <w:p>
      <w:pPr>
        <w:jc w:val="left"/>
        <w:rPr>
          <w:rFonts w:ascii="Times New Roman" w:hAnsi="Times New Roman" w:eastAsia="宋体" w:cs="Times New Roman"/>
          <w:sz w:val="28"/>
          <w:szCs w:val="28"/>
        </w:rPr>
      </w:pPr>
      <w:r>
        <w:rPr>
          <w:rFonts w:hint="eastAsia" w:ascii="方正仿宋_GBK" w:hAnsi="宋体" w:eastAsia="方正仿宋_GBK" w:cs="Times New Roman"/>
          <w:color w:val="000000"/>
          <w:sz w:val="28"/>
          <w:szCs w:val="28"/>
        </w:rPr>
        <w:t>中国政府采购网--政府采购严重违法失信行为信息记录</w:t>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r>
        <w:rPr>
          <w:rFonts w:ascii="Times New Roman" w:hAnsi="Times New Roman" w:eastAsia="宋体" w:cs="Times New Roman"/>
          <w:sz w:val="28"/>
          <w:szCs w:val="20"/>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jc w:val="left"/>
        <w:rPr>
          <w:rFonts w:ascii="Times New Roman" w:hAnsi="Times New Roman" w:eastAsia="宋体" w:cs="Times New Roman"/>
          <w:sz w:val="28"/>
          <w:szCs w:val="20"/>
        </w:rPr>
      </w:pPr>
    </w:p>
    <w:p>
      <w:pPr>
        <w:spacing w:line="360" w:lineRule="auto"/>
        <w:ind w:firstLine="480" w:firstLineChars="200"/>
        <w:jc w:val="center"/>
        <w:rPr>
          <w:rFonts w:ascii="方正仿宋_GBK" w:hAnsi="宋体" w:eastAsia="方正仿宋_GBK" w:cs="Times New Roman"/>
          <w:sz w:val="24"/>
          <w:szCs w:val="24"/>
        </w:rPr>
      </w:pPr>
    </w:p>
    <w:p/>
    <w:p>
      <w:pPr>
        <w:pStyle w:val="2"/>
        <w:jc w:val="center"/>
        <w:rPr>
          <w:rFonts w:ascii="微软雅黑" w:hAnsi="微软雅黑" w:eastAsia="微软雅黑" w:cs="微软雅黑"/>
          <w:sz w:val="36"/>
          <w:szCs w:val="36"/>
        </w:rPr>
      </w:pPr>
      <w:bookmarkStart w:id="179" w:name="_Toc20566"/>
      <w:bookmarkStart w:id="180" w:name="_Toc19073"/>
      <w:bookmarkStart w:id="181" w:name="_Toc6296"/>
      <w:bookmarkStart w:id="182" w:name="_Toc30608"/>
      <w:r>
        <w:rPr>
          <w:rFonts w:hint="eastAsia" w:ascii="微软雅黑" w:hAnsi="微软雅黑" w:eastAsia="微软雅黑" w:cs="微软雅黑"/>
          <w:sz w:val="36"/>
          <w:szCs w:val="36"/>
        </w:rPr>
        <w:t>重庆医科大学附属永川医院</w:t>
      </w:r>
      <w:bookmarkEnd w:id="179"/>
    </w:p>
    <w:p>
      <w:pPr>
        <w:pStyle w:val="2"/>
        <w:jc w:val="center"/>
        <w:rPr>
          <w:rFonts w:ascii="微软雅黑" w:hAnsi="微软雅黑" w:eastAsia="微软雅黑" w:cs="微软雅黑"/>
          <w:sz w:val="36"/>
          <w:szCs w:val="36"/>
        </w:rPr>
      </w:pPr>
      <w:bookmarkStart w:id="183" w:name="_Toc29857"/>
      <w:bookmarkStart w:id="184" w:name="_Toc8143"/>
      <w:r>
        <w:rPr>
          <w:rFonts w:hint="eastAsia" w:ascii="微软雅黑" w:hAnsi="微软雅黑" w:eastAsia="微软雅黑" w:cs="微软雅黑"/>
          <w:sz w:val="36"/>
          <w:szCs w:val="36"/>
        </w:rPr>
        <w:t>参加医院院内采购活动来院人员</w:t>
      </w:r>
      <w:bookmarkEnd w:id="183"/>
      <w:bookmarkEnd w:id="184"/>
    </w:p>
    <w:p>
      <w:pPr>
        <w:pStyle w:val="2"/>
        <w:jc w:val="center"/>
        <w:rPr>
          <w:rFonts w:ascii="微软雅黑" w:hAnsi="微软雅黑" w:eastAsia="微软雅黑" w:cs="微软雅黑"/>
          <w:sz w:val="36"/>
          <w:szCs w:val="36"/>
        </w:rPr>
      </w:pPr>
      <w:bookmarkStart w:id="185" w:name="_Toc28727"/>
      <w:bookmarkStart w:id="186" w:name="_Toc24346"/>
      <w:r>
        <w:rPr>
          <w:rFonts w:hint="eastAsia" w:ascii="微软雅黑" w:hAnsi="微软雅黑" w:eastAsia="微软雅黑" w:cs="微软雅黑"/>
          <w:sz w:val="36"/>
          <w:szCs w:val="36"/>
        </w:rPr>
        <w:t>新冠肺炎疫情防控工作告知书</w:t>
      </w:r>
      <w:bookmarkEnd w:id="180"/>
      <w:bookmarkEnd w:id="181"/>
      <w:bookmarkEnd w:id="182"/>
      <w:bookmarkEnd w:id="185"/>
      <w:bookmarkEnd w:id="186"/>
    </w:p>
    <w:p>
      <w:pPr>
        <w:pStyle w:val="35"/>
        <w:rPr>
          <w:rFonts w:ascii="微软雅黑" w:hAnsi="微软雅黑" w:eastAsia="微软雅黑" w:cs="微软雅黑"/>
        </w:rPr>
      </w:pPr>
    </w:p>
    <w:p>
      <w:pPr>
        <w:pStyle w:val="35"/>
        <w:rPr>
          <w:rFonts w:ascii="微软雅黑" w:hAnsi="微软雅黑" w:eastAsia="微软雅黑" w:cs="微软雅黑"/>
        </w:rPr>
      </w:pP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为切实保障本院疫情防控安全，维持正常工作秩序，根据《关于做好当前国内重点地区来渝返渝人员健康管理的通知》（渝肺炎组疫发〔2022〕3号）、《疫情期间工作人员离永返永返岗管理制度的通知》（重医永川医院肺炎组〔2021〕13号），结合本院实际，现就持续统筹做好疫情防控工作告知如下，请配合完成。</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1、所有到重庆医科大学附属永川医院参加采购相关活动的人员，均参照本医院职工疫情管理规定执行。</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2、境内重点地区来渝返渝人员实行分类管理，具体如下：</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1）对高、中风险区来渝返渝人员和外省（区、市）确定的特定时段、特定空间高风险人群，施行集中隔离医学观察，第1、4、7、10、14天各做1次核酸检测。到本院办事须持集中医学观察期间5次核酸阴性证明+解除隔离证明+健康绿码+行程码，无法提供者严禁到本院办事。</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2）对高风险区所在县（市、区）的其他低风险地区来渝返渝人员，施行7天居家隔离+7天健康监测（第1、7、10、14天各做1次核酸检测）。到本院办事须持居家隔离和健康监测期间4次核酸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3）对中风险区所在县（市、区）的其他低风险区来渝返渝人员和外省（区、市）高风险岗位的来渝返渝人员（自行申报），实施14天自我健康监测（第1、7、10、14天各做1次核酸检测，前2次检测结果出来之前原则上居家观察）。到本院办事须持健康监测期间前2次核酸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4）对高、中风险区所在地市的其他县（市、区）来渝返渝人员和未划定高、中风险区但出现本土病例的所在地市来渝返渝人员，实施7天自我健康监测（在4天内完成2次核酸检测，2次采样间隔至少72小时，2次检测结果出来前原则上居家观察）。到本院办事须持健康监测期间2次核酸（间隔至少72小时）阴性证明+健康绿码+行程码，特殊情况需另行申请。</w:t>
      </w:r>
    </w:p>
    <w:p>
      <w:pPr>
        <w:widowControl/>
        <w:spacing w:line="400" w:lineRule="exac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5）除外上述情形的市外低风险区来渝返渝人员，参照第（4）条执行，原则上需进行2次核酸检测（间隔至少72小时）且结果阴性方可来本院办事，到本院办事须持2次核酸（间隔至少72小时）阴性证明+健康绿码+行程码，特殊情况需另行申请。</w:t>
      </w:r>
    </w:p>
    <w:p>
      <w:pPr>
        <w:widowControl/>
        <w:spacing w:line="400" w:lineRule="exact"/>
        <w:ind w:firstLine="480" w:firstLineChars="200"/>
        <w:jc w:val="left"/>
        <w:rPr>
          <w:rFonts w:ascii="微软雅黑" w:hAnsi="微软雅黑" w:eastAsia="微软雅黑" w:cs="微软雅黑"/>
        </w:rPr>
      </w:pPr>
      <w:r>
        <w:rPr>
          <w:rFonts w:hint="eastAsia" w:ascii="微软雅黑" w:hAnsi="微软雅黑" w:eastAsia="微软雅黑" w:cs="微软雅黑"/>
          <w:sz w:val="24"/>
          <w:szCs w:val="24"/>
        </w:rPr>
        <w:t>3、重庆市内人员持48小时内核酸检测阴性证明+健康绿码+行程码。如重庆市发现本土疫情，则严格按照上级要求执行相关管理规定。</w:t>
      </w:r>
    </w:p>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15</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6412C07"/>
    <w:multiLevelType w:val="multilevel"/>
    <w:tmpl w:val="06412C07"/>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AE9BAF9"/>
    <w:multiLevelType w:val="singleLevel"/>
    <w:tmpl w:val="4AE9BAF9"/>
    <w:lvl w:ilvl="0" w:tentative="0">
      <w:start w:val="1"/>
      <w:numFmt w:val="decimal"/>
      <w:lvlText w:val="%1."/>
      <w:lvlJc w:val="left"/>
      <w:pPr>
        <w:tabs>
          <w:tab w:val="left" w:pos="312"/>
        </w:tabs>
      </w:pPr>
    </w:lvl>
  </w:abstractNum>
  <w:abstractNum w:abstractNumId="14">
    <w:nsid w:val="4DEE2888"/>
    <w:multiLevelType w:val="singleLevel"/>
    <w:tmpl w:val="4DEE2888"/>
    <w:lvl w:ilvl="0" w:tentative="0">
      <w:start w:val="3"/>
      <w:numFmt w:val="chineseCounting"/>
      <w:suff w:val="space"/>
      <w:lvlText w:val="第%1篇"/>
      <w:lvlJc w:val="left"/>
      <w:rPr>
        <w:rFonts w:hint="eastAsia"/>
      </w:rPr>
    </w:lvl>
  </w:abstractNum>
  <w:abstractNum w:abstractNumId="15">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4"/>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27C08"/>
    <w:rsid w:val="0004316E"/>
    <w:rsid w:val="000A1EDB"/>
    <w:rsid w:val="000B050F"/>
    <w:rsid w:val="000B157C"/>
    <w:rsid w:val="000C4C90"/>
    <w:rsid w:val="000F3226"/>
    <w:rsid w:val="00101F64"/>
    <w:rsid w:val="0011653F"/>
    <w:rsid w:val="00121494"/>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3288"/>
    <w:rsid w:val="003C571A"/>
    <w:rsid w:val="003C65D5"/>
    <w:rsid w:val="00446003"/>
    <w:rsid w:val="0048640A"/>
    <w:rsid w:val="004B1ACC"/>
    <w:rsid w:val="004C688B"/>
    <w:rsid w:val="005062BD"/>
    <w:rsid w:val="00550797"/>
    <w:rsid w:val="005A706A"/>
    <w:rsid w:val="005B592D"/>
    <w:rsid w:val="0060181A"/>
    <w:rsid w:val="006129B4"/>
    <w:rsid w:val="0062398E"/>
    <w:rsid w:val="00632A55"/>
    <w:rsid w:val="00663874"/>
    <w:rsid w:val="006708C4"/>
    <w:rsid w:val="00675447"/>
    <w:rsid w:val="006848FC"/>
    <w:rsid w:val="006A19E0"/>
    <w:rsid w:val="00711CC8"/>
    <w:rsid w:val="007476D5"/>
    <w:rsid w:val="007740C0"/>
    <w:rsid w:val="0077748F"/>
    <w:rsid w:val="00786C77"/>
    <w:rsid w:val="007A4946"/>
    <w:rsid w:val="007A7105"/>
    <w:rsid w:val="00801F2B"/>
    <w:rsid w:val="0080534D"/>
    <w:rsid w:val="00830EE2"/>
    <w:rsid w:val="0092306F"/>
    <w:rsid w:val="0093238E"/>
    <w:rsid w:val="00974BAF"/>
    <w:rsid w:val="009A3FA1"/>
    <w:rsid w:val="009D223F"/>
    <w:rsid w:val="009D688D"/>
    <w:rsid w:val="009E67FB"/>
    <w:rsid w:val="00A312D1"/>
    <w:rsid w:val="00AA6209"/>
    <w:rsid w:val="00AD3532"/>
    <w:rsid w:val="00AE01C3"/>
    <w:rsid w:val="00B02C14"/>
    <w:rsid w:val="00B04951"/>
    <w:rsid w:val="00B36ACA"/>
    <w:rsid w:val="00B606F1"/>
    <w:rsid w:val="00B75496"/>
    <w:rsid w:val="00B82D5A"/>
    <w:rsid w:val="00B969B3"/>
    <w:rsid w:val="00BA00E2"/>
    <w:rsid w:val="00BA68CC"/>
    <w:rsid w:val="00BE6913"/>
    <w:rsid w:val="00BF0190"/>
    <w:rsid w:val="00C15B20"/>
    <w:rsid w:val="00C31A67"/>
    <w:rsid w:val="00C4071C"/>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74C3905"/>
    <w:rsid w:val="07F26429"/>
    <w:rsid w:val="087D3A94"/>
    <w:rsid w:val="0D5648B3"/>
    <w:rsid w:val="0E4D3D6E"/>
    <w:rsid w:val="10EA5A3E"/>
    <w:rsid w:val="120C7676"/>
    <w:rsid w:val="127929E7"/>
    <w:rsid w:val="16360C91"/>
    <w:rsid w:val="169D4137"/>
    <w:rsid w:val="199C5D97"/>
    <w:rsid w:val="1E1265D5"/>
    <w:rsid w:val="1ED55F80"/>
    <w:rsid w:val="24817400"/>
    <w:rsid w:val="25B7688A"/>
    <w:rsid w:val="26B81776"/>
    <w:rsid w:val="29C13D98"/>
    <w:rsid w:val="2B193CEA"/>
    <w:rsid w:val="2DE92B69"/>
    <w:rsid w:val="2EA677C6"/>
    <w:rsid w:val="2F0D6469"/>
    <w:rsid w:val="2F2348BD"/>
    <w:rsid w:val="31A43590"/>
    <w:rsid w:val="321105C0"/>
    <w:rsid w:val="34D66156"/>
    <w:rsid w:val="35E87A5C"/>
    <w:rsid w:val="369E4A52"/>
    <w:rsid w:val="36EA7CBB"/>
    <w:rsid w:val="3BAE77AA"/>
    <w:rsid w:val="3E76169E"/>
    <w:rsid w:val="3EEC6CA2"/>
    <w:rsid w:val="417C359B"/>
    <w:rsid w:val="42030507"/>
    <w:rsid w:val="42201ED0"/>
    <w:rsid w:val="433230F1"/>
    <w:rsid w:val="46A00372"/>
    <w:rsid w:val="491919D0"/>
    <w:rsid w:val="492C6FBB"/>
    <w:rsid w:val="4A1025A8"/>
    <w:rsid w:val="4C4E289A"/>
    <w:rsid w:val="4C815740"/>
    <w:rsid w:val="4CA11F6B"/>
    <w:rsid w:val="4CC1650F"/>
    <w:rsid w:val="4D1B4BF6"/>
    <w:rsid w:val="50DD164E"/>
    <w:rsid w:val="51D77CAA"/>
    <w:rsid w:val="537A201C"/>
    <w:rsid w:val="55301446"/>
    <w:rsid w:val="56167D3E"/>
    <w:rsid w:val="57EA769F"/>
    <w:rsid w:val="592213DB"/>
    <w:rsid w:val="596671F9"/>
    <w:rsid w:val="5B3E21DC"/>
    <w:rsid w:val="5C074B91"/>
    <w:rsid w:val="5F48403A"/>
    <w:rsid w:val="5F6E604F"/>
    <w:rsid w:val="5F933BD1"/>
    <w:rsid w:val="6269072D"/>
    <w:rsid w:val="627174B3"/>
    <w:rsid w:val="62A0165F"/>
    <w:rsid w:val="635F53E5"/>
    <w:rsid w:val="641811B6"/>
    <w:rsid w:val="65254A6D"/>
    <w:rsid w:val="657B5F8E"/>
    <w:rsid w:val="670A709F"/>
    <w:rsid w:val="68262975"/>
    <w:rsid w:val="687206BE"/>
    <w:rsid w:val="6C7528AD"/>
    <w:rsid w:val="6C7F395F"/>
    <w:rsid w:val="6D4847C1"/>
    <w:rsid w:val="6D494A02"/>
    <w:rsid w:val="6E8925B0"/>
    <w:rsid w:val="6F6A4C3F"/>
    <w:rsid w:val="70253512"/>
    <w:rsid w:val="73297C92"/>
    <w:rsid w:val="73CB446B"/>
    <w:rsid w:val="771209F6"/>
    <w:rsid w:val="780F3A42"/>
    <w:rsid w:val="783A1618"/>
    <w:rsid w:val="788D1D21"/>
    <w:rsid w:val="78CF04BF"/>
    <w:rsid w:val="7A990A27"/>
    <w:rsid w:val="7AE61E7C"/>
    <w:rsid w:val="7B306E47"/>
    <w:rsid w:val="7BBB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uiPriority w:val="1"/>
  </w:style>
  <w:style w:type="table" w:default="1" w:styleId="58">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修订1"/>
    <w:qFormat/>
    <w:uiPriority w:val="0"/>
    <w:rPr>
      <w:rFonts w:ascii="Times New Roman" w:hAnsi="Times New Roman" w:eastAsia="宋体" w:cs="Times New Roman"/>
      <w:kern w:val="2"/>
      <w:sz w:val="21"/>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sz w:val="21"/>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sz w:val="18"/>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sz w:val="21"/>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A925F-9DE2-47C6-9090-675631AA0A3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15553</Words>
  <Characters>15946</Characters>
  <Lines>147</Lines>
  <Paragraphs>41</Paragraphs>
  <TotalTime>2</TotalTime>
  <ScaleCrop>false</ScaleCrop>
  <LinksUpToDate>false</LinksUpToDate>
  <CharactersWithSpaces>16990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Sinlain Spynn</cp:lastModifiedBy>
  <dcterms:modified xsi:type="dcterms:W3CDTF">2022-05-16T00:43:39Z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D90EFDEDCD294DEAB041A069E42458C9</vt:lpwstr>
  </property>
</Properties>
</file>